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346075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370840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Washington, D.C. 20549</w:t>
      </w:r>
    </w:p>
    <w:p>
      <w:pPr>
        <w:ind w:left="4780"/>
        <w:spacing w:after="0"/>
        <w:rPr>
          <w:sz w:val="20"/>
          <w:szCs w:val="20"/>
          <w:color w:val="auto"/>
        </w:rPr>
      </w:pPr>
      <w:r>
        <w:rPr>
          <w:rFonts w:ascii="Arial" w:cs="Arial" w:eastAsia="Arial" w:hAnsi="Arial"/>
          <w:sz w:val="10"/>
          <w:szCs w:val="10"/>
          <w:b w:val="1"/>
          <w:bCs w:val="1"/>
          <w:color w:val="auto"/>
        </w:rPr>
        <w:t>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3"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October 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77"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060"/>
        <w:spacing w:after="0"/>
        <w:rPr>
          <w:sz w:val="20"/>
          <w:szCs w:val="20"/>
          <w:color w:val="auto"/>
        </w:rPr>
      </w:pPr>
      <w:r>
        <w:rPr>
          <w:rFonts w:ascii="Arial" w:cs="Arial" w:eastAsia="Arial" w:hAnsi="Arial"/>
          <w:sz w:val="21"/>
          <w:szCs w:val="21"/>
          <w:b w:val="1"/>
          <w:bCs w:val="1"/>
          <w:color w:val="auto"/>
        </w:rPr>
        <w:t>For the transition period from _______ to 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001-33278</w:t>
      </w:r>
    </w:p>
    <w:p>
      <w:pPr>
        <w:spacing w:after="0" w:line="74" w:lineRule="exact"/>
        <w:rPr>
          <w:sz w:val="24"/>
          <w:szCs w:val="24"/>
          <w:color w:val="auto"/>
        </w:rPr>
      </w:pPr>
    </w:p>
    <w:p>
      <w:pPr>
        <w:ind w:left="4660"/>
        <w:spacing w:after="0"/>
        <w:rPr>
          <w:sz w:val="20"/>
          <w:szCs w:val="20"/>
          <w:color w:val="auto"/>
        </w:rPr>
      </w:pPr>
      <w:r>
        <w:rPr>
          <w:rFonts w:ascii="Arial" w:cs="Arial" w:eastAsia="Arial" w:hAnsi="Arial"/>
          <w:sz w:val="17"/>
          <w:szCs w:val="17"/>
          <w:color w:val="auto"/>
        </w:rPr>
        <w:t>______________________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AVIAT NETWORKS,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79" w:lineRule="exact"/>
        <w:rPr>
          <w:sz w:val="24"/>
          <w:szCs w:val="24"/>
          <w:color w:val="auto"/>
        </w:rPr>
      </w:pPr>
    </w:p>
    <w:p>
      <w:pPr>
        <w:ind w:left="4660"/>
        <w:spacing w:after="0"/>
        <w:rPr>
          <w:sz w:val="20"/>
          <w:szCs w:val="20"/>
          <w:color w:val="auto"/>
        </w:rPr>
      </w:pPr>
      <w:r>
        <w:rPr>
          <w:rFonts w:ascii="Arial" w:cs="Arial" w:eastAsia="Arial" w:hAnsi="Arial"/>
          <w:sz w:val="17"/>
          <w:szCs w:val="17"/>
          <w:color w:val="auto"/>
        </w:rPr>
        <w:t>______________________</w:t>
      </w:r>
    </w:p>
    <w:p>
      <w:pPr>
        <w:sectPr>
          <w:pgSz w:w="11900" w:h="16838" w:orient="portrait"/>
          <w:cols w:equalWidth="0" w:num="1">
            <w:col w:w="11240"/>
          </w:cols>
          <w:pgMar w:left="320" w:top="1009" w:right="33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20-5961564</w:t>
      </w:r>
    </w:p>
    <w:p>
      <w:pPr>
        <w:spacing w:after="0" w:line="55" w:lineRule="exact"/>
        <w:rPr>
          <w:sz w:val="24"/>
          <w:szCs w:val="24"/>
          <w:color w:val="auto"/>
        </w:rPr>
      </w:pPr>
    </w:p>
    <w:p>
      <w:pPr>
        <w:sectPr>
          <w:pgSz w:w="11900" w:h="16838" w:orient="portrait"/>
          <w:cols w:equalWidth="0" w:num="2">
            <w:col w:w="8100" w:space="720"/>
            <w:col w:w="2420"/>
          </w:cols>
          <w:pgMar w:left="320" w:top="1009" w:right="33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07" w:lineRule="exact"/>
        <w:rPr>
          <w:sz w:val="24"/>
          <w:szCs w:val="24"/>
          <w:color w:val="auto"/>
        </w:rPr>
      </w:pPr>
    </w:p>
    <w:p>
      <w:pPr>
        <w:sectPr>
          <w:pgSz w:w="11900" w:h="16838" w:orient="portrait"/>
          <w:cols w:equalWidth="0" w:num="2">
            <w:col w:w="7320" w:space="720"/>
            <w:col w:w="3200"/>
          </w:cols>
          <w:pgMar w:left="320" w:top="1009" w:right="339" w:bottom="144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00" w:val="left"/>
        </w:tabs>
        <w:rPr>
          <w:sz w:val="20"/>
          <w:szCs w:val="20"/>
          <w:color w:val="auto"/>
        </w:rPr>
      </w:pPr>
      <w:r>
        <w:rPr>
          <w:rFonts w:ascii="Arial" w:cs="Arial" w:eastAsia="Arial" w:hAnsi="Arial"/>
          <w:sz w:val="14"/>
          <w:szCs w:val="14"/>
          <w:b w:val="1"/>
          <w:bCs w:val="1"/>
          <w:color w:val="auto"/>
        </w:rPr>
        <w:t>Austin,</w:t>
      </w:r>
      <w:r>
        <w:rPr>
          <w:sz w:val="20"/>
          <w:szCs w:val="20"/>
          <w:color w:val="auto"/>
        </w:rPr>
        <w:tab/>
      </w: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78728</w:t>
      </w:r>
    </w:p>
    <w:p>
      <w:pPr>
        <w:spacing w:after="0" w:line="54" w:lineRule="exact"/>
        <w:rPr>
          <w:sz w:val="24"/>
          <w:szCs w:val="24"/>
          <w:color w:val="auto"/>
        </w:rPr>
      </w:pPr>
    </w:p>
    <w:p>
      <w:pPr>
        <w:sectPr>
          <w:pgSz w:w="11900" w:h="16838" w:orient="portrait"/>
          <w:cols w:equalWidth="0" w:num="3">
            <w:col w:w="3140" w:space="720"/>
            <w:col w:w="4440" w:space="720"/>
            <w:col w:w="2220"/>
          </w:cols>
          <w:pgMar w:left="320" w:top="1009" w:right="33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6" w:lineRule="exact"/>
        <w:rPr>
          <w:sz w:val="24"/>
          <w:szCs w:val="24"/>
          <w:color w:val="auto"/>
        </w:rPr>
      </w:pPr>
    </w:p>
    <w:p>
      <w:pPr>
        <w:sectPr>
          <w:pgSz w:w="11900" w:h="16838" w:orient="portrait"/>
          <w:cols w:equalWidth="0" w:num="2">
            <w:col w:w="8140" w:space="720"/>
            <w:col w:w="2380"/>
          </w:cols>
          <w:pgMar w:left="320" w:top="1009"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(408) 941-7100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14"/>
          <w:szCs w:val="14"/>
          <w:color w:val="auto"/>
        </w:rPr>
        <w:t>__________________________</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1009" w:right="339" w:bottom="1440" w:gutter="0" w:footer="0" w:header="0"/>
          <w:type w:val="continuous"/>
        </w:sectPr>
      </w:pPr>
    </w:p>
    <w:p>
      <w:pPr>
        <w:spacing w:after="0" w:line="253" w:lineRule="exact"/>
        <w:rPr>
          <w:sz w:val="24"/>
          <w:szCs w:val="24"/>
          <w:color w:val="auto"/>
        </w:rPr>
      </w:pPr>
    </w:p>
    <w:p>
      <w:pPr>
        <w:jc w:val="center"/>
        <w:ind w:right="280"/>
        <w:spacing w:after="0"/>
        <w:rPr>
          <w:sz w:val="20"/>
          <w:szCs w:val="20"/>
          <w:color w:val="auto"/>
        </w:rPr>
      </w:pPr>
      <w:r>
        <w:rPr>
          <w:rFonts w:ascii="Arial" w:cs="Arial" w:eastAsia="Arial" w:hAnsi="Arial"/>
          <w:sz w:val="15"/>
          <w:szCs w:val="15"/>
          <w:b w:val="1"/>
          <w:bCs w:val="1"/>
          <w:color w:val="auto"/>
        </w:rPr>
        <w:t>Title of each class</w:t>
      </w:r>
    </w:p>
    <w:p>
      <w:pPr>
        <w:spacing w:after="0" w:line="56"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Trading Symbol(s)</w:t>
      </w:r>
    </w:p>
    <w:p>
      <w:pPr>
        <w:spacing w:after="0" w:line="56"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AVNW</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6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3680" w:space="720"/>
            <w:col w:w="2280" w:space="720"/>
            <w:col w:w="3840"/>
          </w:cols>
          <w:pgMar w:left="320" w:top="1009" w:right="339" w:bottom="1440" w:gutter="0" w:footer="0" w:header="0"/>
          <w:type w:val="continuous"/>
        </w:sectPr>
      </w:pPr>
    </w:p>
    <w:p>
      <w:pPr>
        <w:spacing w:after="0" w:line="23"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Smaller reporting company</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34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73"/>
        </w:trPr>
        <w:tc>
          <w:tcPr>
            <w:tcW w:w="2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234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49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 w:name="page2"/>
    <w:bookmarkEnd w:id="1"/>
    <w:p>
      <w:pPr>
        <w:spacing w:after="0" w:line="225" w:lineRule="exact"/>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280035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304800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0"/>
          <w:szCs w:val="20"/>
          <w:color w:val="auto"/>
        </w:rPr>
      </w:pPr>
    </w:p>
    <w:p>
      <w:pPr>
        <w:ind w:right="2020"/>
        <w:spacing w:after="0" w:line="28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October 29, 2021 was 11,181,607.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REPORT ON FORM 10-Q</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October 1, 2021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CCEEFF"/>
            </w:tcBorders>
          </w:tcPr>
          <w:p>
            <w:pPr>
              <w:spacing w:after="0"/>
              <w:rPr>
                <w:sz w:val="16"/>
                <w:szCs w:val="16"/>
                <w:color w:val="auto"/>
              </w:rPr>
            </w:pPr>
          </w:p>
        </w:tc>
        <w:tc>
          <w:tcPr>
            <w:tcW w:w="9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220"/>
        </w:trPr>
        <w:tc>
          <w:tcPr>
            <w:tcW w:w="10240" w:type="dxa"/>
            <w:vAlign w:val="bottom"/>
            <w:gridSpan w:val="2"/>
            <w:shd w:val="clear" w:color="auto" w:fill="CCEEFF"/>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
              <w:r>
                <w:rPr>
                  <w:rFonts w:ascii="Arial" w:cs="Arial" w:eastAsia="Arial" w:hAnsi="Arial"/>
                  <w:sz w:val="17"/>
                  <w:szCs w:val="17"/>
                  <w:color w:val="0000FF"/>
                </w:rPr>
                <w:t>Item 1. Financial Statements</w:t>
              </w:r>
            </w:hyperlink>
          </w:p>
        </w:tc>
        <w:tc>
          <w:tcPr>
            <w:tcW w:w="58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Balance Sheets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(Unaudited)</w:t>
              </w:r>
            </w:hyperlink>
          </w:p>
        </w:tc>
        <w:tc>
          <w:tcPr>
            <w:tcW w:w="58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r>
      <w:tr>
        <w:trPr>
          <w:trHeight w:val="222"/>
        </w:trPr>
        <w:tc>
          <w:tcPr>
            <w:tcW w:w="10240" w:type="dxa"/>
            <w:vAlign w:val="bottom"/>
            <w:gridSpan w:val="2"/>
            <w:shd w:val="clear" w:color="auto" w:fill="CCEEFF"/>
          </w:tcPr>
          <w:p>
            <w:pPr>
              <w:ind w:left="340"/>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Comprehensive Income (Loss)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Cash Flows (Unaudited)</w:t>
              </w:r>
            </w:hyperlink>
          </w:p>
        </w:tc>
        <w:tc>
          <w:tcPr>
            <w:tcW w:w="58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Equity (Unaudited)</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 (Unaudited)</w:t>
              </w:r>
            </w:hyperlink>
          </w:p>
        </w:tc>
        <w:tc>
          <w:tcPr>
            <w:tcW w:w="58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23">
              <w:r>
                <w:rPr>
                  <w:rFonts w:ascii="Arial" w:cs="Arial" w:eastAsia="Arial" w:hAnsi="Arial"/>
                  <w:sz w:val="17"/>
                  <w:szCs w:val="17"/>
                  <w:color w:val="0000FF"/>
                </w:rPr>
                <w:t>Item 2. Management’s Discussion and Analysis of Financial Condition and Results of Operations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23">
              <w:r>
                <w:rPr>
                  <w:rFonts w:ascii="Arial" w:cs="Arial" w:eastAsia="Arial" w:hAnsi="Arial"/>
                  <w:sz w:val="17"/>
                  <w:szCs w:val="17"/>
                  <w:color w:val="0000FF"/>
                </w:rPr>
                <w:t>23</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0">
              <w:r>
                <w:rPr>
                  <w:rFonts w:ascii="Arial" w:cs="Arial" w:eastAsia="Arial" w:hAnsi="Arial"/>
                  <w:sz w:val="17"/>
                  <w:szCs w:val="17"/>
                  <w:color w:val="0000FF"/>
                </w:rPr>
                <w:t>Item 3. Quantitative and Qualitative Disclosures About Market Risk</w:t>
              </w:r>
            </w:hyperlink>
          </w:p>
        </w:tc>
        <w:tc>
          <w:tcPr>
            <w:tcW w:w="580" w:type="dxa"/>
            <w:vAlign w:val="bottom"/>
          </w:tcPr>
          <w:p>
            <w:pPr>
              <w:jc w:val="right"/>
              <w:spacing w:after="0"/>
              <w:rPr>
                <w:rFonts w:ascii="Arial" w:cs="Arial" w:eastAsia="Arial" w:hAnsi="Arial"/>
                <w:sz w:val="17"/>
                <w:szCs w:val="17"/>
                <w:color w:val="0000FF"/>
              </w:rPr>
            </w:pPr>
            <w:hyperlink w:anchor="page30">
              <w:r>
                <w:rPr>
                  <w:rFonts w:ascii="Arial" w:cs="Arial" w:eastAsia="Arial" w:hAnsi="Arial"/>
                  <w:sz w:val="17"/>
                  <w:szCs w:val="17"/>
                  <w:color w:val="0000FF"/>
                </w:rPr>
                <w:t>31</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2">
              <w:r>
                <w:rPr>
                  <w:rFonts w:ascii="Arial" w:cs="Arial" w:eastAsia="Arial" w:hAnsi="Arial"/>
                  <w:sz w:val="17"/>
                  <w:szCs w:val="17"/>
                  <w:color w:val="0000FF"/>
                </w:rPr>
                <w:t>Item 4. Controls and Procedures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r>
      <w:tr>
        <w:trPr>
          <w:trHeight w:val="222"/>
        </w:trPr>
        <w:tc>
          <w:tcPr>
            <w:tcW w:w="10240" w:type="dxa"/>
            <w:vAlign w:val="bottom"/>
            <w:gridSpan w:val="2"/>
          </w:tcPr>
          <w:p>
            <w:pPr>
              <w:spacing w:after="0"/>
              <w:rPr>
                <w:rFonts w:ascii="Arial" w:cs="Arial" w:eastAsia="Arial" w:hAnsi="Arial"/>
                <w:sz w:val="17"/>
                <w:szCs w:val="17"/>
                <w:b w:val="1"/>
                <w:bCs w:val="1"/>
                <w:color w:val="0000FF"/>
              </w:rPr>
            </w:pPr>
            <w:hyperlink w:anchor="page32">
              <w:r>
                <w:rPr>
                  <w:rFonts w:ascii="Arial" w:cs="Arial" w:eastAsia="Arial" w:hAnsi="Arial"/>
                  <w:sz w:val="17"/>
                  <w:szCs w:val="17"/>
                  <w:b w:val="1"/>
                  <w:bCs w:val="1"/>
                  <w:color w:val="0000FF"/>
                </w:rPr>
                <w:t>Part II. Other Information</w:t>
              </w:r>
            </w:hyperlink>
          </w:p>
        </w:tc>
        <w:tc>
          <w:tcPr>
            <w:tcW w:w="58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33</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1. Legal Proceedings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1A. Risk Factors</w:t>
              </w:r>
            </w:hyperlink>
          </w:p>
        </w:tc>
        <w:tc>
          <w:tcPr>
            <w:tcW w:w="580" w:type="dxa"/>
            <w:vAlign w:val="bottom"/>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2. Unregistered Sales of Equity Securities and Use of Proceeds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3. Defaults upon Senior Securities</w:t>
              </w:r>
            </w:hyperlink>
          </w:p>
        </w:tc>
        <w:tc>
          <w:tcPr>
            <w:tcW w:w="580" w:type="dxa"/>
            <w:vAlign w:val="bottom"/>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4. Mine Safety Disclosures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5. Other Information</w:t>
              </w:r>
            </w:hyperlink>
          </w:p>
        </w:tc>
        <w:tc>
          <w:tcPr>
            <w:tcW w:w="580" w:type="dxa"/>
            <w:vAlign w:val="bottom"/>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22"/>
        </w:trPr>
        <w:tc>
          <w:tcPr>
            <w:tcW w:w="10240" w:type="dxa"/>
            <w:vAlign w:val="bottom"/>
            <w:gridSpan w:val="2"/>
            <w:shd w:val="clear" w:color="auto" w:fill="CCEEFF"/>
          </w:tcPr>
          <w:p>
            <w:pPr>
              <w:ind w:left="320"/>
              <w:spacing w:after="0"/>
              <w:rPr>
                <w:rFonts w:ascii="Arial" w:cs="Arial" w:eastAsia="Arial" w:hAnsi="Arial"/>
                <w:sz w:val="17"/>
                <w:szCs w:val="17"/>
                <w:color w:val="0000FF"/>
              </w:rPr>
            </w:pPr>
            <w:hyperlink w:anchor="page33">
              <w:r>
                <w:rPr>
                  <w:rFonts w:ascii="Arial" w:cs="Arial" w:eastAsia="Arial" w:hAnsi="Arial"/>
                  <w:sz w:val="17"/>
                  <w:szCs w:val="17"/>
                  <w:color w:val="0000FF"/>
                </w:rPr>
                <w:t>Item 6. Exhibits</w:t>
              </w:r>
            </w:hyperlink>
          </w:p>
        </w:tc>
        <w:tc>
          <w:tcPr>
            <w:tcW w:w="580" w:type="dxa"/>
            <w:vAlign w:val="bottom"/>
            <w:shd w:val="clear" w:color="auto" w:fill="CCEEFF"/>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r>
      <w:tr>
        <w:trPr>
          <w:trHeight w:val="222"/>
        </w:trPr>
        <w:tc>
          <w:tcPr>
            <w:tcW w:w="10240" w:type="dxa"/>
            <w:vAlign w:val="bottom"/>
            <w:gridSpan w:val="2"/>
          </w:tcPr>
          <w:p>
            <w:pPr>
              <w:spacing w:after="0"/>
              <w:rPr>
                <w:rFonts w:ascii="Arial" w:cs="Arial" w:eastAsia="Arial" w:hAnsi="Arial"/>
                <w:sz w:val="17"/>
                <w:szCs w:val="17"/>
                <w:b w:val="1"/>
                <w:bCs w:val="1"/>
                <w:color w:val="0000FF"/>
              </w:rPr>
            </w:pPr>
            <w:hyperlink w:anchor="page34">
              <w:r>
                <w:rPr>
                  <w:rFonts w:ascii="Arial" w:cs="Arial" w:eastAsia="Arial" w:hAnsi="Arial"/>
                  <w:sz w:val="17"/>
                  <w:szCs w:val="17"/>
                  <w:b w:val="1"/>
                  <w:bCs w:val="1"/>
                  <w:color w:val="0000FF"/>
                </w:rPr>
                <w:t>Signatures</w:t>
              </w:r>
            </w:hyperlink>
          </w:p>
        </w:tc>
        <w:tc>
          <w:tcPr>
            <w:tcW w:w="580" w:type="dxa"/>
            <w:vAlign w:val="bottom"/>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35</w:t>
              </w:r>
            </w:hyperlink>
          </w:p>
        </w:tc>
      </w:tr>
      <w:tr>
        <w:trPr>
          <w:trHeight w:val="183"/>
        </w:trPr>
        <w:tc>
          <w:tcPr>
            <w:tcW w:w="10240" w:type="dxa"/>
            <w:vAlign w:val="bottom"/>
            <w:gridSpan w:val="2"/>
            <w:shd w:val="clear" w:color="auto" w:fill="CCEEFF"/>
          </w:tcPr>
          <w:p>
            <w:pPr>
              <w:spacing w:after="0" w:line="183" w:lineRule="exact"/>
              <w:rPr>
                <w:rFonts w:ascii="Arial" w:cs="Arial" w:eastAsia="Arial" w:hAnsi="Arial"/>
                <w:sz w:val="17"/>
                <w:szCs w:val="17"/>
                <w:b w:val="1"/>
                <w:bCs w:val="1"/>
                <w:color w:val="0000FF"/>
              </w:rPr>
            </w:pPr>
            <w:hyperlink w:anchor="page33">
              <w:r>
                <w:rPr>
                  <w:rFonts w:ascii="Arial" w:cs="Arial" w:eastAsia="Arial" w:hAnsi="Arial"/>
                  <w:sz w:val="17"/>
                  <w:szCs w:val="17"/>
                  <w:b w:val="1"/>
                  <w:bCs w:val="1"/>
                  <w:color w:val="0000FF"/>
                </w:rPr>
                <w:t>Exhibit Index</w:t>
              </w:r>
            </w:hyperlink>
          </w:p>
        </w:tc>
        <w:tc>
          <w:tcPr>
            <w:tcW w:w="580" w:type="dxa"/>
            <w:vAlign w:val="bottom"/>
            <w:shd w:val="clear" w:color="auto" w:fill="CCEEFF"/>
          </w:tcPr>
          <w:p>
            <w:pPr>
              <w:jc w:val="right"/>
              <w:spacing w:after="0" w:line="183" w:lineRule="exact"/>
              <w:rPr>
                <w:rFonts w:ascii="Arial" w:cs="Arial" w:eastAsia="Arial" w:hAnsi="Arial"/>
                <w:sz w:val="17"/>
                <w:szCs w:val="17"/>
                <w:color w:val="0000FF"/>
              </w:rPr>
            </w:pPr>
            <w:hyperlink w:anchor="page34">
              <w:r>
                <w:rPr>
                  <w:rFonts w:ascii="Arial" w:cs="Arial" w:eastAsia="Arial" w:hAnsi="Arial"/>
                  <w:sz w:val="17"/>
                  <w:szCs w:val="17"/>
                  <w:color w:val="0000FF"/>
                </w:rPr>
                <w:t>35</w:t>
              </w:r>
            </w:hyperlink>
          </w:p>
        </w:tc>
      </w:tr>
      <w:tr>
        <w:trPr>
          <w:trHeight w:val="39"/>
        </w:trPr>
        <w:tc>
          <w:tcPr>
            <w:tcW w:w="1020" w:type="dxa"/>
            <w:vAlign w:val="bottom"/>
            <w:shd w:val="clear" w:color="auto" w:fill="0000FF"/>
          </w:tcPr>
          <w:p>
            <w:pPr>
              <w:spacing w:after="0"/>
              <w:rPr>
                <w:sz w:val="3"/>
                <w:szCs w:val="3"/>
                <w:color w:val="auto"/>
              </w:rPr>
            </w:pPr>
          </w:p>
        </w:tc>
        <w:tc>
          <w:tcPr>
            <w:tcW w:w="9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062" w:right="5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7"/>
          <w:szCs w:val="17"/>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4"/>
                <w:szCs w:val="14"/>
                <w:color w:val="auto"/>
              </w:rPr>
            </w:pPr>
          </w:p>
        </w:tc>
        <w:tc>
          <w:tcPr>
            <w:tcW w:w="1220" w:type="dxa"/>
            <w:vAlign w:val="bottom"/>
          </w:tcPr>
          <w:p>
            <w:pPr>
              <w:jc w:val="right"/>
              <w:ind w:right="502"/>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47,942</w:t>
            </w: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59,438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48,135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receivables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37,521</w:t>
            </w: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23,436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service inventories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9,556</w:t>
            </w:r>
          </w:p>
        </w:tc>
        <w:tc>
          <w:tcPr>
            <w:tcW w:w="0" w:type="dxa"/>
            <w:vAlign w:val="bottom"/>
          </w:tcPr>
          <w:p>
            <w:pPr>
              <w:spacing w:after="0"/>
              <w:rPr>
                <w:sz w:val="1"/>
                <w:szCs w:val="1"/>
                <w:color w:val="auto"/>
              </w:rPr>
            </w:pPr>
          </w:p>
        </w:tc>
      </w:tr>
      <w:tr>
        <w:trPr>
          <w:trHeight w:val="199"/>
        </w:trPr>
        <w:tc>
          <w:tcPr>
            <w:tcW w:w="80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183,686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170,239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11,701</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103,467</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39,378</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32,405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28,154</w:t>
            </w: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Short-term lease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Advance payments and unearned revenue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Restructuring liabilities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96,369</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8,592</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uncertain tax positions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114,318</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Preferred stock, $0.01 par value, 50,000,000 shares authorized, none issued</w:t>
            </w: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0"/>
              </w:rPr>
              <w:t>Common stock, $0.01 par value, 300,000,000 shares authorized, 11,187,003 shares issued and outstanding at October 1,</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 11,153,445 shares issued and outstanding at July 2, 2021 (see Note 1 Stock Split)</w:t>
            </w:r>
          </w:p>
        </w:tc>
        <w:tc>
          <w:tcPr>
            <w:tcW w:w="2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220"/>
              <w:spacing w:after="0"/>
              <w:rPr>
                <w:sz w:val="20"/>
                <w:szCs w:val="20"/>
                <w:color w:val="auto"/>
              </w:rPr>
            </w:pPr>
            <w:r>
              <w:rPr>
                <w:rFonts w:ascii="Arial" w:cs="Arial" w:eastAsia="Arial" w:hAnsi="Arial"/>
                <w:sz w:val="16"/>
                <w:szCs w:val="16"/>
                <w:color w:val="auto"/>
              </w:rPr>
              <w:t>Treasury stock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818,939</w:t>
            </w:r>
          </w:p>
        </w:tc>
        <w:tc>
          <w:tcPr>
            <w:tcW w:w="0" w:type="dxa"/>
            <w:vAlign w:val="bottom"/>
          </w:tcPr>
          <w:p>
            <w:pPr>
              <w:spacing w:after="0"/>
              <w:rPr>
                <w:sz w:val="1"/>
                <w:szCs w:val="1"/>
                <w:color w:val="auto"/>
              </w:rPr>
            </w:pPr>
          </w:p>
        </w:tc>
      </w:tr>
      <w:tr>
        <w:trPr>
          <w:trHeight w:val="206"/>
        </w:trPr>
        <w:tc>
          <w:tcPr>
            <w:tcW w:w="80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(615,920)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(620,602)</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(14,327)</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183,335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1"/>
                <w:szCs w:val="11"/>
                <w:color w:val="auto"/>
              </w:rPr>
            </w:pPr>
          </w:p>
        </w:tc>
        <w:tc>
          <w:tcPr>
            <w:tcW w:w="12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08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3"/>
        </w:trPr>
        <w:tc>
          <w:tcPr>
            <w:tcW w:w="6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rPr>
                <w:sz w:val="20"/>
                <w:szCs w:val="20"/>
                <w:color w:val="auto"/>
              </w:rPr>
            </w:pPr>
            <w:r>
              <w:rPr>
                <w:rFonts w:ascii="Arial" w:cs="Arial" w:eastAsia="Arial" w:hAnsi="Arial"/>
                <w:sz w:val="17"/>
                <w:szCs w:val="17"/>
                <w:color w:val="auto"/>
              </w:rPr>
              <w:t>Revenue from product sales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50,847</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44,464</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21,826</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66,290</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rPr>
                <w:sz w:val="20"/>
                <w:szCs w:val="20"/>
                <w:color w:val="auto"/>
              </w:rPr>
            </w:pPr>
            <w:r>
              <w:rPr>
                <w:rFonts w:ascii="Arial" w:cs="Arial" w:eastAsia="Arial" w:hAnsi="Arial"/>
                <w:sz w:val="17"/>
                <w:szCs w:val="17"/>
                <w:color w:val="auto"/>
              </w:rPr>
              <w:t>Cost of product sales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27,909</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14,132</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cost of revenues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42,041</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24,249</w:t>
            </w: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4,847</w:t>
            </w: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rPr>
                <w:sz w:val="20"/>
                <w:szCs w:val="20"/>
                <w:color w:val="auto"/>
              </w:rPr>
            </w:pPr>
            <w:r>
              <w:rPr>
                <w:rFonts w:ascii="Arial" w:cs="Arial" w:eastAsia="Arial" w:hAnsi="Arial"/>
                <w:sz w:val="17"/>
                <w:szCs w:val="17"/>
                <w:color w:val="auto"/>
              </w:rPr>
              <w:t>Selling and administrative expenses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12,837</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17,684</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6,565</w:t>
            </w:r>
          </w:p>
        </w:tc>
        <w:tc>
          <w:tcPr>
            <w:tcW w:w="0" w:type="dxa"/>
            <w:vAlign w:val="bottom"/>
          </w:tcPr>
          <w:p>
            <w:pPr>
              <w:spacing w:after="0"/>
              <w:rPr>
                <w:sz w:val="1"/>
                <w:szCs w:val="1"/>
                <w:color w:val="auto"/>
              </w:rPr>
            </w:pPr>
          </w:p>
        </w:tc>
      </w:tr>
      <w:tr>
        <w:trPr>
          <w:trHeight w:val="22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0" w:type="dxa"/>
            <w:vAlign w:val="bottom"/>
          </w:tcPr>
          <w:p>
            <w:pPr>
              <w:spacing w:after="0"/>
              <w:rPr>
                <w:sz w:val="1"/>
                <w:szCs w:val="1"/>
                <w:color w:val="auto"/>
              </w:rPr>
            </w:pPr>
          </w:p>
        </w:tc>
      </w:tr>
      <w:tr>
        <w:trPr>
          <w:trHeight w:val="222"/>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4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 of common stock outstanding: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32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0.42</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0.55</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 (see Note 1 Stock Split):</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10,822</w:t>
            </w:r>
          </w:p>
        </w:tc>
        <w:tc>
          <w:tcPr>
            <w:tcW w:w="0" w:type="dxa"/>
            <w:vAlign w:val="bottom"/>
          </w:tcPr>
          <w:p>
            <w:pPr>
              <w:spacing w:after="0"/>
              <w:rPr>
                <w:sz w:val="1"/>
                <w:szCs w:val="1"/>
                <w:color w:val="auto"/>
              </w:rPr>
            </w:pPr>
          </w:p>
        </w:tc>
      </w:tr>
      <w:tr>
        <w:trPr>
          <w:trHeight w:val="222"/>
        </w:trPr>
        <w:tc>
          <w:tcPr>
            <w:tcW w:w="6060" w:type="dxa"/>
            <w:vAlign w:val="bottom"/>
          </w:tcPr>
          <w:p>
            <w:pPr>
              <w:ind w:left="32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11,092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219"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October 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October 2,</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4,682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5,936</w:t>
            </w:r>
          </w:p>
        </w:tc>
        <w:tc>
          <w:tcPr>
            <w:tcW w:w="0" w:type="dxa"/>
            <w:vAlign w:val="bottom"/>
          </w:tcPr>
          <w:p>
            <w:pPr>
              <w:spacing w:after="0"/>
              <w:rPr>
                <w:sz w:val="1"/>
                <w:szCs w:val="1"/>
                <w:color w:val="auto"/>
              </w:rPr>
            </w:pPr>
          </w:p>
        </w:tc>
      </w:tr>
      <w:tr>
        <w:trPr>
          <w:trHeight w:val="222"/>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(loss) income:</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change in cumulative translation adjustments,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4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4,518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6,350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110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2"/>
        </w:trPr>
        <w:tc>
          <w:tcPr>
            <w:tcW w:w="84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4,682</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5,936</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Depreciation and amortization of 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1,254</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uncollectible receivables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Share-based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Charges for inventory and customer service inventory write-downs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disposition of property, plant and equipment, net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service inventories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payable or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Other assets and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15"/>
        </w:trPr>
        <w:tc>
          <w:tcPr>
            <w:tcW w:w="8480" w:type="dxa"/>
            <w:vAlign w:val="bottom"/>
          </w:tcPr>
          <w:p>
            <w:pPr>
              <w:ind w:left="46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4,241</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Payments for acquisition of property, plant and equipment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02"/>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borrowings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Payments for repurchase of common stock - treasury shares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taxes related to net settlement of equity awards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issuance of common stock under employee stock plans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(8,705)</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cash</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(5,393)</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41,872</w:t>
            </w:r>
          </w:p>
        </w:tc>
        <w:tc>
          <w:tcPr>
            <w:tcW w:w="0" w:type="dxa"/>
            <w:vAlign w:val="bottom"/>
          </w:tcPr>
          <w:p>
            <w:pPr>
              <w:spacing w:after="0"/>
              <w:rPr>
                <w:sz w:val="1"/>
                <w:szCs w:val="1"/>
                <w:color w:val="auto"/>
              </w:rPr>
            </w:pPr>
          </w:p>
        </w:tc>
      </w:tr>
      <w:tr>
        <w:trPr>
          <w:trHeight w:val="24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36,479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auto"/>
        </w:rPr>
        <w:t>AVIAT NETWORKS, INC.</w:t>
      </w:r>
    </w:p>
    <w:p>
      <w:pPr>
        <w:jc w:val="center"/>
        <w:ind w:right="-19"/>
        <w:spacing w:after="0" w:line="230" w:lineRule="auto"/>
        <w:rPr>
          <w:sz w:val="20"/>
          <w:szCs w:val="20"/>
          <w:color w:val="auto"/>
        </w:rPr>
      </w:pPr>
      <w:r>
        <w:rPr>
          <w:rFonts w:ascii="Arial" w:cs="Arial" w:eastAsia="Arial" w:hAnsi="Arial"/>
          <w:sz w:val="17"/>
          <w:szCs w:val="17"/>
          <w:b w:val="1"/>
          <w:bCs w:val="1"/>
          <w:color w:val="auto"/>
        </w:rPr>
        <w:t xml:space="preserve">CONDENSED CONSOLIDATED STATEMENTS OF EQUITY </w:t>
      </w:r>
      <w:r>
        <w:rPr>
          <w:rFonts w:ascii="Arial" w:cs="Arial" w:eastAsia="Arial" w:hAnsi="Arial"/>
          <w:sz w:val="22"/>
          <w:szCs w:val="22"/>
          <w:b w:val="1"/>
          <w:bCs w:val="1"/>
          <w:color w:val="auto"/>
          <w:vertAlign w:val="superscript"/>
        </w:rPr>
        <w:t>(1)</w:t>
      </w: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0"/>
          </w:tcPr>
          <w:p>
            <w:pPr>
              <w:jc w:val="right"/>
              <w:ind w:right="130"/>
              <w:spacing w:after="0"/>
              <w:rPr>
                <w:sz w:val="20"/>
                <w:szCs w:val="20"/>
                <w:color w:val="auto"/>
              </w:rPr>
            </w:pPr>
            <w:r>
              <w:rPr>
                <w:rFonts w:ascii="Arial" w:cs="Arial" w:eastAsia="Arial" w:hAnsi="Arial"/>
                <w:sz w:val="14"/>
                <w:szCs w:val="14"/>
                <w:b w:val="1"/>
                <w:bCs w:val="1"/>
                <w:color w:val="auto"/>
              </w:rPr>
              <w:t>Three Months Ended October 1,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8"/>
          </w:tcPr>
          <w:p>
            <w:pPr>
              <w:ind w:left="4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7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Accumulated Other</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Comprehensive Loss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2,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11,153,445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818,939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(620,602)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183,335</w:t>
            </w: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4,682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66,235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(10,134)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(22,543)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Balance as of October 1, 2021</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11,187,003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819,711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(615,920)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(14,491)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187,912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right"/>
              <w:ind w:right="590"/>
              <w:spacing w:after="0"/>
              <w:rPr>
                <w:sz w:val="20"/>
                <w:szCs w:val="20"/>
                <w:color w:val="auto"/>
              </w:rPr>
            </w:pPr>
            <w:r>
              <w:rPr>
                <w:rFonts w:ascii="Arial" w:cs="Arial" w:eastAsia="Arial" w:hAnsi="Arial"/>
                <w:sz w:val="14"/>
                <w:szCs w:val="14"/>
                <w:b w:val="1"/>
                <w:bCs w:val="1"/>
                <w:color w:val="auto"/>
                <w:w w:val="93"/>
              </w:rPr>
              <w:t>Three Months Ended October 2,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8"/>
          </w:tcPr>
          <w:p>
            <w:pPr>
              <w:ind w:left="4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60"/>
              <w:spacing w:after="0" w:line="131"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Equity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Comprehensive Loss</w:t>
            </w:r>
          </w:p>
        </w:tc>
        <w:tc>
          <w:tcPr>
            <w:tcW w:w="9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10,800,974</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814,283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(730,741)</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(14,969)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68,681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5,936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96,982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(11,232)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October 2, 2020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10,886,724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815,148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(724,805)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(14,555)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180" w:hanging="175"/>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Note 1 Stock Split.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9" w:name="page10"/>
    <w:bookmarkEnd w:id="9"/>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The Company and Basis of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October 1, 2021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2, 2021.</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unaudited condensed consolidated financial statements include the accounts of the Company and its wholly owned and majority-owned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transactions and accounts have been eliminated.</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operate on a 52-week or 53-week year ending on the Friday closest to June 30. The three months ended October 1, 2021 and the three months ended October 2, 2020 both consisted of 13 weeks. Fiscal year 2022 will be comprised of 52 weeks and will end on July 1, 2022. Fiscal 2021 was comprised of 52 weeks and ended on July 2,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contingencies and recoverability of long-lived assets. The actual results that we experience may differ materially from our estimates.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Summary of Significant Accounting Policies</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There have been no material changes in our significant accounting policies as of October 1, 2021 and for the three months ended October 1, 2021, as compared to the significant accounting policies described in our Annual Report on Form 10-K for the fiscal year ended July 2, 2021.</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70" w:lineRule="exact"/>
        <w:rPr>
          <w:sz w:val="20"/>
          <w:szCs w:val="20"/>
          <w:color w:val="auto"/>
        </w:rPr>
      </w:pPr>
    </w:p>
    <w:p>
      <w:pPr>
        <w:jc w:val="both"/>
        <w:ind w:right="100" w:firstLine="470"/>
        <w:spacing w:after="0" w:line="264"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740)</w:t>
      </w:r>
      <w:r>
        <w:rPr>
          <w:rFonts w:ascii="Arial" w:cs="Arial" w:eastAsia="Arial" w:hAnsi="Arial"/>
          <w:sz w:val="17"/>
          <w:szCs w:val="17"/>
          <w:color w:val="auto"/>
        </w:rPr>
        <w:t>. This guidance simplifies the accounting for income taxes by removing certain exceptions to the general principles and also simplifies areas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 taxes, step-up in tax basis of goodwill, separate entity financial statements and interim recognition of enactment of tax laws and rate changes. ASU 2019-12 became effective for us in our first quarter of fiscal 2022. The adoption had no material impact on our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Not Yet Adopted</w:t>
      </w:r>
    </w:p>
    <w:p>
      <w:pPr>
        <w:spacing w:after="0" w:line="170"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is effective March 12, 2020 through December 31, 2022. We are evaluating the potential impact ASU 2020-04 will have on our unaudited condensed consolidated financial statements.</w:t>
      </w:r>
    </w:p>
    <w:p>
      <w:pPr>
        <w:spacing w:after="0" w:line="93"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 Losses on Financial Instruments</w:t>
      </w:r>
      <w:r>
        <w:rPr>
          <w:rFonts w:ascii="Arial" w:cs="Arial" w:eastAsia="Arial" w:hAnsi="Arial"/>
          <w:sz w:val="15"/>
          <w:szCs w:val="15"/>
          <w:color w:val="auto"/>
        </w:rPr>
        <w:t xml:space="preserve">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Balance Sheet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following table provides a summary of the cash, cash equivalents, and restricted cash reported within our unaudited condensed consolidated balance sheets that reconciles to the corresponding amount in our unaudited condensed consolidated statement of cash flows: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October 1,</w:t>
            </w:r>
          </w:p>
        </w:tc>
        <w:tc>
          <w:tcPr>
            <w:tcW w:w="720" w:type="dxa"/>
            <w:vAlign w:val="bottom"/>
          </w:tcPr>
          <w:p>
            <w:pPr>
              <w:spacing w:after="0"/>
              <w:rPr>
                <w:sz w:val="14"/>
                <w:szCs w:val="14"/>
                <w:color w:val="auto"/>
              </w:rPr>
            </w:pPr>
          </w:p>
        </w:tc>
        <w:tc>
          <w:tcPr>
            <w:tcW w:w="880" w:type="dxa"/>
            <w:vAlign w:val="bottom"/>
          </w:tcPr>
          <w:p>
            <w:pPr>
              <w:jc w:val="right"/>
              <w:ind w:right="102"/>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Cash and cash equivalents</w:t>
            </w: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2"/>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Restricted cash included in other assets</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cash, cash equivalents, and restricted cash in the Statement of Cash Flows</w:t>
            </w: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47,540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net accounts receivable are summarized below:</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October 1,</w:t>
            </w:r>
          </w:p>
        </w:tc>
        <w:tc>
          <w:tcPr>
            <w:tcW w:w="760" w:type="dxa"/>
            <w:vAlign w:val="bottom"/>
          </w:tcPr>
          <w:p>
            <w:pPr>
              <w:spacing w:after="0"/>
              <w:rPr>
                <w:sz w:val="14"/>
                <w:szCs w:val="14"/>
                <w:color w:val="auto"/>
              </w:rPr>
            </w:pPr>
          </w:p>
        </w:tc>
        <w:tc>
          <w:tcPr>
            <w:tcW w:w="1040" w:type="dxa"/>
            <w:vAlign w:val="bottom"/>
          </w:tcPr>
          <w:p>
            <w:pPr>
              <w:jc w:val="right"/>
              <w:ind w:right="20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receivable</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880"/>
              <w:spacing w:after="0"/>
              <w:rPr>
                <w:sz w:val="20"/>
                <w:szCs w:val="20"/>
                <w:color w:val="auto"/>
              </w:rPr>
            </w:pPr>
            <w:r>
              <w:rPr>
                <w:rFonts w:ascii="Arial" w:cs="Arial" w:eastAsia="Arial" w:hAnsi="Arial"/>
                <w:sz w:val="17"/>
                <w:szCs w:val="17"/>
                <w:color w:val="auto"/>
                <w:w w:val="99"/>
              </w:rPr>
              <w:t>61,184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center"/>
              <w:ind w:left="780"/>
              <w:spacing w:after="0"/>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Less: Allowances for doubtful accounts</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2"/>
              </w:rPr>
              <w:t>(1,746)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780"/>
              <w:spacing w:after="0"/>
              <w:rPr>
                <w:sz w:val="20"/>
                <w:szCs w:val="20"/>
                <w:color w:val="auto"/>
              </w:rPr>
            </w:pPr>
            <w:r>
              <w:rPr>
                <w:rFonts w:ascii="Arial" w:cs="Arial" w:eastAsia="Arial" w:hAnsi="Arial"/>
                <w:sz w:val="17"/>
                <w:szCs w:val="17"/>
                <w:color w:val="auto"/>
                <w:w w:val="92"/>
              </w:rPr>
              <w:t>(2</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accounts receivable, net</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9"/>
              </w:rPr>
              <w:t>59,438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center"/>
              <w:ind w:left="780"/>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inventories are summarized below:</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October 1,</w:t>
            </w:r>
          </w:p>
        </w:tc>
        <w:tc>
          <w:tcPr>
            <w:tcW w:w="760" w:type="dxa"/>
            <w:vAlign w:val="bottom"/>
          </w:tcPr>
          <w:p>
            <w:pPr>
              <w:spacing w:after="0"/>
              <w:rPr>
                <w:sz w:val="14"/>
                <w:szCs w:val="14"/>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Finished products</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Raw materials and supplies</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inventories</w:t>
            </w:r>
          </w:p>
        </w:tc>
        <w:tc>
          <w:tcPr>
            <w:tcW w:w="760" w:type="dxa"/>
            <w:vAlign w:val="bottom"/>
            <w:tcBorders>
              <w:bottom w:val="single" w:sz="8" w:color="auto"/>
            </w:tcBorders>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23,648</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3"/>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color w:val="auto"/>
              </w:rPr>
              <w:t>Consigned inventories included within raw materials and supplies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vMerge w:val="continue"/>
          </w:tcPr>
          <w:p>
            <w:pPr>
              <w:spacing w:after="0"/>
              <w:rPr>
                <w:sz w:val="16"/>
                <w:szCs w:val="16"/>
                <w:color w:val="auto"/>
              </w:rPr>
            </w:pPr>
          </w:p>
        </w:tc>
        <w:tc>
          <w:tcPr>
            <w:tcW w:w="760" w:type="dxa"/>
            <w:vAlign w:val="bottom"/>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4" w:lineRule="exact"/>
              <w:rPr>
                <w:sz w:val="20"/>
                <w:szCs w:val="20"/>
                <w:color w:val="auto"/>
              </w:rPr>
            </w:pPr>
            <w:r>
              <w:rPr>
                <w:rFonts w:ascii="Arial" w:cs="Arial" w:eastAsia="Arial" w:hAnsi="Arial"/>
                <w:sz w:val="17"/>
                <w:szCs w:val="17"/>
                <w:color w:val="auto"/>
              </w:rPr>
              <w:t>6,344</w:t>
            </w:r>
          </w:p>
        </w:tc>
        <w:tc>
          <w:tcPr>
            <w:tcW w:w="120" w:type="dxa"/>
            <w:vAlign w:val="bottom"/>
          </w:tcPr>
          <w:p>
            <w:pPr>
              <w:spacing w:after="0"/>
              <w:rPr>
                <w:sz w:val="16"/>
                <w:szCs w:val="16"/>
                <w:color w:val="auto"/>
              </w:rPr>
            </w:pPr>
          </w:p>
        </w:tc>
        <w:tc>
          <w:tcPr>
            <w:tcW w:w="760" w:type="dxa"/>
            <w:vAlign w:val="bottom"/>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currently rely on a few vendors for substantially all of our inventory purchases.</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record charges to adjust our inventory and customer service inventory due to excess and obsolete inventory resulting from lower sales forecasts, product transitioning, or discontinuance. The charges during the three months ended October 1, 2021 and October 2, 2020 were classified in cost of product sales as follows:</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October 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jc w:val="right"/>
              <w:ind w:right="500"/>
              <w:spacing w:after="0" w:line="129" w:lineRule="exact"/>
              <w:rPr>
                <w:sz w:val="20"/>
                <w:szCs w:val="20"/>
                <w:color w:val="auto"/>
              </w:rPr>
            </w:pPr>
            <w:r>
              <w:rPr>
                <w:rFonts w:ascii="Arial" w:cs="Arial" w:eastAsia="Arial" w:hAnsi="Arial"/>
                <w:sz w:val="14"/>
                <w:szCs w:val="14"/>
                <w:b w:val="1"/>
                <w:bCs w:val="1"/>
                <w:color w:val="auto"/>
              </w:rPr>
              <w:t>October 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vMerge w:val="continue"/>
          </w:tcPr>
          <w:p>
            <w:pPr>
              <w:spacing w:after="0"/>
              <w:rPr>
                <w:sz w:val="15"/>
                <w:szCs w:val="15"/>
                <w:color w:val="auto"/>
              </w:rPr>
            </w:pPr>
          </w:p>
        </w:tc>
        <w:tc>
          <w:tcPr>
            <w:tcW w:w="17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Excess and obsolete inventory charges</w:t>
            </w:r>
          </w:p>
        </w:tc>
        <w:tc>
          <w:tcPr>
            <w:tcW w:w="1760" w:type="dxa"/>
            <w:vAlign w:val="bottom"/>
            <w:shd w:val="clear" w:color="auto" w:fill="CCEEFF"/>
          </w:tcPr>
          <w:p>
            <w:pPr>
              <w:jc w:val="right"/>
              <w:ind w:right="1102"/>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tcBorders>
              <w:bottom w:val="single" w:sz="8" w:color="CCEEFF"/>
            </w:tcBorders>
          </w:tcPr>
          <w:p>
            <w:pPr>
              <w:ind w:left="580"/>
              <w:spacing w:after="0"/>
              <w:rPr>
                <w:sz w:val="20"/>
                <w:szCs w:val="20"/>
                <w:color w:val="auto"/>
              </w:rPr>
            </w:pPr>
            <w:r>
              <w:rPr>
                <w:rFonts w:ascii="Arial" w:cs="Arial" w:eastAsia="Arial" w:hAnsi="Arial"/>
                <w:sz w:val="17"/>
                <w:szCs w:val="17"/>
                <w:color w:val="auto"/>
              </w:rPr>
              <w:t>Customer service inventory write-downs</w:t>
            </w:r>
          </w:p>
        </w:tc>
        <w:tc>
          <w:tcPr>
            <w:tcW w:w="1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inventory charges</w:t>
            </w:r>
          </w:p>
        </w:tc>
        <w:tc>
          <w:tcPr>
            <w:tcW w:w="1760" w:type="dxa"/>
            <w:vAlign w:val="bottom"/>
            <w:tcBorders>
              <w:bottom w:val="single" w:sz="8" w:color="auto"/>
            </w:tcBorders>
            <w:shd w:val="clear" w:color="auto" w:fill="CCEEFF"/>
          </w:tcPr>
          <w:p>
            <w:pPr>
              <w:jc w:val="right"/>
              <w:ind w:right="1102"/>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consider properties to be Assets held for sale when management approves and commits to a plan to dispose of a property or group of properties. The property held for sale prior to the sale date is separately presented on the balance sheet as Assets held for sale.</w:t>
      </w:r>
    </w:p>
    <w:p>
      <w:pPr>
        <w:spacing w:after="0" w:line="106" w:lineRule="exact"/>
        <w:rPr>
          <w:sz w:val="20"/>
          <w:szCs w:val="20"/>
          <w:color w:val="auto"/>
        </w:rPr>
      </w:pPr>
    </w:p>
    <w:p>
      <w:pPr>
        <w:jc w:val="both"/>
        <w:ind w:right="100" w:firstLine="470"/>
        <w:spacing w:after="0" w:line="313" w:lineRule="auto"/>
        <w:rPr>
          <w:sz w:val="20"/>
          <w:szCs w:val="20"/>
          <w:color w:val="auto"/>
        </w:rPr>
      </w:pPr>
      <w:r>
        <w:rPr>
          <w:rFonts w:ascii="Arial" w:cs="Arial" w:eastAsia="Arial" w:hAnsi="Arial"/>
          <w:sz w:val="15"/>
          <w:szCs w:val="15"/>
          <w:color w:val="auto"/>
        </w:rPr>
        <w:t>During the second quarter of fiscal 2021 management initiated the sale of our facility located in the United Kingdom. We expect to complete the sale by the end of our second fiscal 2022 quarter. The carrying value of this asset held for sale as of October 1, 2021 was $2.2 million, which represents the lower of 1) the carrying value or 2) the fair value of the asset, less estimated costs to sell the asset. We performed an analysis and determined the estimated fair value of the asset, less estimated selling costs, is higher than the carrying value of the asset. As a result, no impairment charge was recorded in our statement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property, plant and equipment, net are summarized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October 1,</w:t>
            </w:r>
          </w:p>
        </w:tc>
        <w:tc>
          <w:tcPr>
            <w:tcW w:w="400" w:type="dxa"/>
            <w:vAlign w:val="bottom"/>
          </w:tcPr>
          <w:p>
            <w:pPr>
              <w:spacing w:after="0"/>
              <w:rPr>
                <w:sz w:val="14"/>
                <w:szCs w:val="14"/>
                <w:color w:val="auto"/>
              </w:rPr>
            </w:pPr>
          </w:p>
        </w:tc>
        <w:tc>
          <w:tcPr>
            <w:tcW w:w="1380" w:type="dxa"/>
            <w:vAlign w:val="bottom"/>
          </w:tcPr>
          <w:p>
            <w:pPr>
              <w:jc w:val="right"/>
              <w:ind w:right="617"/>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6,917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6,914</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21,370</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51,244</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plant and equipment, gross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(68,037)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property, plant and equipment, net</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2" w:name="page13"/>
    <w:bookmarkEnd w:id="12"/>
    <w:p>
      <w:pPr>
        <w:jc w:val="both"/>
        <w:ind w:right="100" w:firstLine="470"/>
        <w:spacing w:after="0" w:line="272" w:lineRule="auto"/>
        <w:rPr>
          <w:sz w:val="20"/>
          <w:szCs w:val="20"/>
          <w:color w:val="auto"/>
        </w:rPr>
      </w:pPr>
      <w:r>
        <w:rPr>
          <w:rFonts w:ascii="Arial" w:cs="Arial" w:eastAsia="Arial" w:hAnsi="Arial"/>
          <w:sz w:val="17"/>
          <w:szCs w:val="17"/>
          <w:color w:val="auto"/>
        </w:rPr>
        <w:t>Included in the total plant, property and equipment above were $0.4 million and $0.3 million of assets in progress which have not been placed in service as of October 1, 2021 and July 2, 2021, respectively. Depreciation and amortization expense related to property, plant and equipment, including amortization of software developed for internal use,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2"/>
              </w:rPr>
              <w:t>Three Months Ended</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1"/>
                <w:szCs w:val="11"/>
                <w:color w:val="auto"/>
              </w:rPr>
            </w:pPr>
          </w:p>
        </w:tc>
        <w:tc>
          <w:tcPr>
            <w:tcW w:w="150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jc w:val="right"/>
              <w:ind w:right="483"/>
              <w:spacing w:after="0" w:line="129" w:lineRule="exact"/>
              <w:rPr>
                <w:sz w:val="20"/>
                <w:szCs w:val="20"/>
                <w:color w:val="auto"/>
              </w:rPr>
            </w:pPr>
            <w:r>
              <w:rPr>
                <w:rFonts w:ascii="Arial" w:cs="Arial" w:eastAsia="Arial" w:hAnsi="Arial"/>
                <w:sz w:val="14"/>
                <w:szCs w:val="14"/>
                <w:b w:val="1"/>
                <w:bCs w:val="1"/>
                <w:color w:val="auto"/>
                <w:w w:val="95"/>
              </w:rPr>
              <w:t>October 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300" w:type="dxa"/>
            <w:vAlign w:val="bottom"/>
            <w:tcBorders>
              <w:bottom w:val="single" w:sz="8" w:color="CCEEFF"/>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1,254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73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Accrued Expenses</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300" w:type="dxa"/>
            <w:vAlign w:val="bottom"/>
            <w:gridSpan w:val="3"/>
          </w:tcPr>
          <w:p>
            <w:pPr>
              <w:ind w:left="480"/>
              <w:spacing w:after="0"/>
              <w:rPr>
                <w:sz w:val="20"/>
                <w:szCs w:val="20"/>
                <w:color w:val="auto"/>
              </w:rPr>
            </w:pPr>
            <w:r>
              <w:rPr>
                <w:rFonts w:ascii="Arial" w:cs="Arial" w:eastAsia="Arial" w:hAnsi="Arial"/>
                <w:sz w:val="17"/>
                <w:szCs w:val="17"/>
                <w:color w:val="auto"/>
              </w:rPr>
              <w:t>Our accrued expenses are summarized below:</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0" w:type="dxa"/>
            <w:vAlign w:val="bottom"/>
          </w:tcPr>
          <w:p>
            <w:pPr>
              <w:spacing w:after="0"/>
              <w:rPr>
                <w:sz w:val="24"/>
                <w:szCs w:val="24"/>
                <w:color w:val="auto"/>
              </w:rPr>
            </w:pPr>
          </w:p>
        </w:tc>
        <w:tc>
          <w:tcPr>
            <w:tcW w:w="68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jc w:val="right"/>
              <w:ind w:right="7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Accrued compensation and benefits</w:t>
            </w: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8,175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963"/>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20" w:type="dxa"/>
            <w:vAlign w:val="bottom"/>
            <w:gridSpan w:val="2"/>
          </w:tcPr>
          <w:p>
            <w:pPr>
              <w:ind w:left="480"/>
              <w:spacing w:after="0"/>
              <w:rPr>
                <w:sz w:val="20"/>
                <w:szCs w:val="20"/>
                <w:color w:val="auto"/>
              </w:rPr>
            </w:pPr>
            <w:r>
              <w:rPr>
                <w:rFonts w:ascii="Arial" w:cs="Arial" w:eastAsia="Arial" w:hAnsi="Arial"/>
                <w:sz w:val="17"/>
                <w:szCs w:val="17"/>
                <w:color w:val="auto"/>
              </w:rPr>
              <w:t>Accrued agent commissions</w:t>
            </w:r>
          </w:p>
        </w:tc>
        <w:tc>
          <w:tcPr>
            <w:tcW w:w="6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2,133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Accrued warranties</w:t>
            </w:r>
          </w:p>
        </w:tc>
        <w:tc>
          <w:tcPr>
            <w:tcW w:w="6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20" w:type="dxa"/>
            <w:vAlign w:val="bottom"/>
            <w:gridSpan w:val="2"/>
          </w:tcPr>
          <w:p>
            <w:pPr>
              <w:ind w:left="480"/>
              <w:spacing w:after="0"/>
              <w:rPr>
                <w:sz w:val="20"/>
                <w:szCs w:val="20"/>
                <w:color w:val="auto"/>
              </w:rPr>
            </w:pPr>
            <w:r>
              <w:rPr>
                <w:rFonts w:ascii="Arial" w:cs="Arial" w:eastAsia="Arial" w:hAnsi="Arial"/>
                <w:sz w:val="17"/>
                <w:szCs w:val="17"/>
                <w:color w:val="auto"/>
              </w:rPr>
              <w:t>Other</w:t>
            </w:r>
          </w:p>
        </w:tc>
        <w:tc>
          <w:tcPr>
            <w:tcW w:w="6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11,124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accrued expenses</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24,750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4"/>
              </w:rPr>
              <w:t>28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Warranties</w:t>
      </w:r>
    </w:p>
    <w:p>
      <w:pPr>
        <w:spacing w:after="0" w:line="170"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1"/>
                <w:szCs w:val="11"/>
                <w:color w:val="auto"/>
              </w:rPr>
            </w:pPr>
          </w:p>
        </w:tc>
        <w:tc>
          <w:tcPr>
            <w:tcW w:w="146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676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Balance as of the beginning of the period</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ind w:left="900"/>
              <w:spacing w:after="0"/>
              <w:rPr>
                <w:sz w:val="20"/>
                <w:szCs w:val="20"/>
                <w:color w:val="auto"/>
              </w:rPr>
            </w:pPr>
            <w:r>
              <w:rPr>
                <w:rFonts w:ascii="Arial" w:cs="Arial" w:eastAsia="Arial" w:hAnsi="Arial"/>
                <w:sz w:val="17"/>
                <w:szCs w:val="17"/>
                <w:color w:val="auto"/>
              </w:rPr>
              <w:t>3,228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760" w:type="dxa"/>
            <w:vAlign w:val="bottom"/>
          </w:tcPr>
          <w:p>
            <w:pPr>
              <w:ind w:left="680"/>
              <w:spacing w:after="0"/>
              <w:rPr>
                <w:sz w:val="20"/>
                <w:szCs w:val="20"/>
                <w:color w:val="auto"/>
              </w:rPr>
            </w:pPr>
            <w:r>
              <w:rPr>
                <w:rFonts w:ascii="Arial" w:cs="Arial" w:eastAsia="Arial" w:hAnsi="Arial"/>
                <w:sz w:val="17"/>
                <w:szCs w:val="17"/>
                <w:color w:val="auto"/>
              </w:rPr>
              <w:t>Warranty provision recorded during the period</w:t>
            </w:r>
          </w:p>
        </w:tc>
        <w:tc>
          <w:tcPr>
            <w:tcW w:w="740" w:type="dxa"/>
            <w:vAlign w:val="bottom"/>
          </w:tcPr>
          <w:p>
            <w:pPr>
              <w:spacing w:after="0"/>
              <w:rPr>
                <w:sz w:val="19"/>
                <w:szCs w:val="19"/>
                <w:color w:val="auto"/>
              </w:rPr>
            </w:pPr>
          </w:p>
        </w:tc>
        <w:tc>
          <w:tcPr>
            <w:tcW w:w="1360" w:type="dxa"/>
            <w:vAlign w:val="bottom"/>
          </w:tcPr>
          <w:p>
            <w:pPr>
              <w:ind w:left="1020"/>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7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Consumption during the period</w:t>
            </w: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95"/>
              </w:rPr>
              <w:t>(408)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7"/>
                <w:szCs w:val="17"/>
                <w:color w:val="auto"/>
              </w:rPr>
              <w:t>Balance as of the end of the period</w:t>
            </w: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3,318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Advance Payments and Unearned Revenue</w:t>
            </w: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72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240" w:type="dxa"/>
            <w:vAlign w:val="bottom"/>
            <w:gridSpan w:val="2"/>
          </w:tcPr>
          <w:p>
            <w:pPr>
              <w:ind w:left="480"/>
              <w:spacing w:after="0"/>
              <w:rPr>
                <w:sz w:val="20"/>
                <w:szCs w:val="20"/>
                <w:color w:val="auto"/>
              </w:rPr>
            </w:pPr>
            <w:r>
              <w:rPr>
                <w:rFonts w:ascii="Arial" w:cs="Arial" w:eastAsia="Arial" w:hAnsi="Arial"/>
                <w:sz w:val="17"/>
                <w:szCs w:val="17"/>
                <w:color w:val="auto"/>
              </w:rPr>
              <w:t>Our advance payments and unearned revenue are summarized below:</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0" w:type="dxa"/>
            <w:vAlign w:val="bottom"/>
          </w:tcPr>
          <w:p>
            <w:pPr>
              <w:spacing w:after="0"/>
              <w:rPr>
                <w:sz w:val="24"/>
                <w:szCs w:val="24"/>
                <w:color w:val="auto"/>
              </w:rPr>
            </w:pPr>
          </w:p>
        </w:tc>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1460" w:type="dxa"/>
            <w:vAlign w:val="bottom"/>
            <w:gridSpan w:val="3"/>
          </w:tcPr>
          <w:p>
            <w:pPr>
              <w:ind w:left="280"/>
              <w:spacing w:after="0"/>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676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Advance payments</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1,278</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Unearned revenue</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900"/>
              <w:spacing w:after="0"/>
              <w:rPr>
                <w:sz w:val="20"/>
                <w:szCs w:val="20"/>
                <w:color w:val="auto"/>
              </w:rPr>
            </w:pPr>
            <w:r>
              <w:rPr>
                <w:rFonts w:ascii="Arial" w:cs="Arial" w:eastAsia="Arial" w:hAnsi="Arial"/>
                <w:sz w:val="17"/>
                <w:szCs w:val="17"/>
                <w:color w:val="auto"/>
                <w:w w:val="99"/>
              </w:rPr>
              <w:t>34,205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67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advance payments and unearned revenue</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9"/>
              </w:rPr>
              <w:t>35,483</w:t>
            </w: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Excluded from the balances above are $8.5 million and $8.6 million in long-term unearned revenue as of October 1, 2021 and July 2, 2021,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7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Note 3. Fair Value Measurements of Assets and Liabilities</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We did not have any fair value measurements of liabilities to disclose. The three levels of inputs used to measure fair value are as follows:</w:t>
      </w:r>
    </w:p>
    <w:p>
      <w:pPr>
        <w:spacing w:after="0" w:line="127" w:lineRule="exact"/>
        <w:rPr>
          <w:sz w:val="20"/>
          <w:szCs w:val="20"/>
          <w:color w:val="auto"/>
        </w:rPr>
      </w:pPr>
    </w:p>
    <w:p>
      <w:pPr>
        <w:ind w:left="940" w:hanging="308"/>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assets or liabilities;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market-based inputs or observable inputs that are corroborated by market data;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carrying amounts, estimated fair values, and valuation input levels of our assets measured at fair value on a recurring basis as of October 1, 2021 and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July 2, 2021 were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October 1,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4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Valuation Inputs</w:t>
            </w: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2"/>
        </w:trPr>
        <w:tc>
          <w:tcPr>
            <w:tcW w:w="4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Level 1</w:t>
            </w:r>
          </w:p>
        </w:tc>
      </w:tr>
      <w:tr>
        <w:trPr>
          <w:trHeight w:val="222"/>
        </w:trPr>
        <w:tc>
          <w:tcPr>
            <w:tcW w:w="4400" w:type="dxa"/>
            <w:vAlign w:val="bottom"/>
          </w:tcPr>
          <w:p>
            <w:pPr>
              <w:ind w:left="340"/>
              <w:spacing w:after="0"/>
              <w:rPr>
                <w:sz w:val="20"/>
                <w:szCs w:val="20"/>
                <w:color w:val="auto"/>
              </w:rPr>
            </w:pPr>
            <w:r>
              <w:rPr>
                <w:rFonts w:ascii="Arial" w:cs="Arial" w:eastAsia="Arial" w:hAnsi="Arial"/>
                <w:sz w:val="17"/>
                <w:szCs w:val="17"/>
                <w:color w:val="auto"/>
              </w:rPr>
              <w:t>Bank certificates of deposit</w:t>
            </w:r>
          </w:p>
        </w:tc>
        <w:tc>
          <w:tcPr>
            <w:tcW w:w="400" w:type="dxa"/>
            <w:vAlign w:val="bottom"/>
          </w:tcPr>
          <w:p>
            <w:pPr>
              <w:jc w:val="right"/>
              <w:ind w:right="21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3,009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3,009</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Level 2</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classify items within Level 1 if quoted prices are available in active markets. Our Level 1 items mainly are money market funds. As of October 1, 2021 and July 2, 2021, these money market funds were valued at $1.00 net asset value per share.</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are classified within Level 2.</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October 1, 2021 and July 2, 2021, we did not have any recurring assets that were valued using significant unobservable inputs.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policy is to recognize asset transfers among Level 1, Level 2, and Level 3 as of the actual date of the events or change in circumstances that caused the transfer. During the first three months of fiscal 2022 and 2021, we had no transfers between levels of the fair value hierarchy of our assets measured at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three months ended October 1,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color w:val="auto"/>
        </w:rPr>
        <w:t>The following summarizes our lease costs (in thousands):</w:t>
      </w:r>
    </w:p>
    <w:p>
      <w:pPr>
        <w:spacing w:after="0" w:line="43" w:lineRule="exact"/>
        <w:rPr>
          <w:sz w:val="20"/>
          <w:szCs w:val="20"/>
          <w:color w:val="auto"/>
        </w:rPr>
      </w:pPr>
    </w:p>
    <w:tbl>
      <w:tblPr>
        <w:tblLayout w:type="fixed"/>
        <w:tblInd w:w="160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660" w:type="dxa"/>
            <w:vAlign w:val="bottom"/>
            <w:gridSpan w:val="3"/>
          </w:tcPr>
          <w:p>
            <w:pPr>
              <w:ind w:left="480"/>
              <w:spacing w:after="0" w:line="129" w:lineRule="exact"/>
              <w:rPr>
                <w:sz w:val="20"/>
                <w:szCs w:val="20"/>
                <w:color w:val="auto"/>
              </w:rPr>
            </w:pPr>
            <w:r>
              <w:rPr>
                <w:rFonts w:ascii="Arial" w:cs="Arial" w:eastAsia="Arial" w:hAnsi="Arial"/>
                <w:sz w:val="14"/>
                <w:szCs w:val="14"/>
                <w:b w:val="1"/>
                <w:bCs w:val="1"/>
                <w:color w:val="auto"/>
              </w:rPr>
              <w:t>October 1,</w:t>
            </w:r>
          </w:p>
        </w:tc>
        <w:tc>
          <w:tcPr>
            <w:tcW w:w="16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right"/>
              <w:ind w:right="479"/>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180"/>
              <w:spacing w:after="0"/>
              <w:rPr>
                <w:sz w:val="20"/>
                <w:szCs w:val="20"/>
                <w:color w:val="auto"/>
              </w:rPr>
            </w:pPr>
            <w:r>
              <w:rPr>
                <w:rFonts w:ascii="Arial" w:cs="Arial" w:eastAsia="Arial" w:hAnsi="Arial"/>
                <w:sz w:val="17"/>
                <w:szCs w:val="17"/>
                <w:color w:val="auto"/>
              </w:rPr>
              <w:t>Total lease costs</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8560" w:type="dxa"/>
            <w:vAlign w:val="bottom"/>
          </w:tcPr>
          <w:p>
            <w:pPr>
              <w:spacing w:after="0"/>
              <w:rPr>
                <w:sz w:val="20"/>
                <w:szCs w:val="20"/>
                <w:color w:val="auto"/>
              </w:rPr>
            </w:pPr>
            <w:r>
              <w:rPr>
                <w:rFonts w:ascii="Arial" w:cs="Arial" w:eastAsia="Arial" w:hAnsi="Arial"/>
                <w:sz w:val="17"/>
                <w:szCs w:val="17"/>
                <w:color w:val="auto"/>
              </w:rPr>
              <w:t>The following summarizes our lease term and discount rate for the three months ended October 1, 2021:</w:t>
            </w: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83"/>
        </w:trPr>
        <w:tc>
          <w:tcPr>
            <w:tcW w:w="8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2"/>
        </w:trPr>
        <w:tc>
          <w:tcPr>
            <w:tcW w:w="85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Weighted average remaining lease term</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r>
      <w:tr>
        <w:trPr>
          <w:trHeight w:val="222"/>
        </w:trPr>
        <w:tc>
          <w:tcPr>
            <w:tcW w:w="8560" w:type="dxa"/>
            <w:vAlign w:val="bottom"/>
          </w:tcPr>
          <w:p>
            <w:pPr>
              <w:ind w:left="500"/>
              <w:spacing w:after="0"/>
              <w:rPr>
                <w:sz w:val="20"/>
                <w:szCs w:val="20"/>
                <w:color w:val="auto"/>
              </w:rPr>
            </w:pPr>
            <w:r>
              <w:rPr>
                <w:rFonts w:ascii="Arial" w:cs="Arial" w:eastAsia="Arial" w:hAnsi="Arial"/>
                <w:sz w:val="17"/>
                <w:szCs w:val="17"/>
                <w:color w:val="auto"/>
              </w:rPr>
              <w:t>Weighted average discount rate</w:t>
            </w:r>
          </w:p>
        </w:tc>
        <w:tc>
          <w:tcPr>
            <w:tcW w:w="1680" w:type="dxa"/>
            <w:vAlign w:val="bottom"/>
          </w:tcPr>
          <w:p>
            <w:pPr>
              <w:jc w:val="right"/>
              <w:ind w:right="93"/>
              <w:spacing w:after="0"/>
              <w:rPr>
                <w:sz w:val="20"/>
                <w:szCs w:val="20"/>
                <w:color w:val="auto"/>
              </w:rPr>
            </w:pPr>
            <w:r>
              <w:rPr>
                <w:rFonts w:ascii="Arial" w:cs="Arial" w:eastAsia="Arial" w:hAnsi="Arial"/>
                <w:sz w:val="17"/>
                <w:szCs w:val="17"/>
                <w:color w:val="auto"/>
              </w:rPr>
              <w:t>5.7</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October 1, 2021, our future minimum lease payments under all non-cancelable operating leases with an initial term in excess of one year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Amount</w:t>
            </w:r>
          </w:p>
        </w:tc>
      </w:tr>
      <w:tr>
        <w:trPr>
          <w:trHeight w:val="179"/>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Arial" w:cs="Arial" w:eastAsia="Arial" w:hAnsi="Arial"/>
                <w:sz w:val="14"/>
                <w:szCs w:val="14"/>
                <w:color w:val="auto"/>
              </w:rPr>
              <w:t>(In thousands)</w:t>
            </w:r>
          </w:p>
        </w:tc>
      </w:tr>
      <w:tr>
        <w:trPr>
          <w:trHeight w:val="225"/>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2023</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713</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2025</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615</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1,708</w:t>
            </w:r>
          </w:p>
        </w:tc>
      </w:tr>
      <w:tr>
        <w:trPr>
          <w:trHeight w:val="215"/>
        </w:trPr>
        <w:tc>
          <w:tcPr>
            <w:tcW w:w="9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lease payments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w:t>
            </w:r>
          </w:p>
        </w:tc>
      </w:tr>
      <w:tr>
        <w:trPr>
          <w:trHeight w:val="240"/>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Present value of lease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Credit Facility and Debt</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On May 17, 2021, we entered into Amendment No. 4 to Third Amended and Restated Loan and Security Agreement with Silicon Valley Bank (the “SVB Credit Facility”) which extended the expiration date to June 28, 2024.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October 1, 2021, available credit under the SVB Credit Facility was $22.5 million, reflecting the lower available limit of $25.0 million less outstanding letters of credit of $2.5 million. We did not borrow against the SVB Credit Facility during the first quarter of fiscal 2022 and there was no borrowing outstanding as of October 1, 2021 or July 2, 2021.</w:t>
      </w:r>
    </w:p>
    <w:p>
      <w:pPr>
        <w:spacing w:after="0" w:line="12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5" w:name="page16"/>
    <w:bookmarkEnd w:id="15"/>
    <w:p>
      <w:pPr>
        <w:jc w:val="both"/>
        <w:ind w:firstLine="470"/>
        <w:spacing w:after="0" w:line="279"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October 1, 2021, we were in compliance with the quarterly financial covenants contained in the SVB Credit Facility, as amended.</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also obtained an uncommitted short-term line of credit of $0.4 million from a bank in New Zealand to support the operations of our New Zealand subsidiary. This line of credit provides for up to $0.3 million in short-term advances at various interest rates, all of which was available as of October 1, 2021 and July 2, 2021. The line of credit also provides for the issuance of standby letters of credit and company credit cards, of which $0.1 million was outstanding as of October 1, 2021 and July 2, 2021. This line of credit may be terminated upon notice, is reviewed annually for renewal or modification, and is supported by a corporate guarantee.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Revenue Recognition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Performance Obligations, and Backlog</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receivables and liabilities from contracts with customers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 2021</w:t>
            </w:r>
          </w:p>
        </w:tc>
        <w:tc>
          <w:tcPr>
            <w:tcW w:w="32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Arial" w:cs="Arial" w:eastAsia="Arial" w:hAnsi="Arial"/>
                <w:sz w:val="14"/>
                <w:szCs w:val="14"/>
                <w:b w:val="1"/>
                <w:bCs w:val="1"/>
                <w:color w:val="auto"/>
              </w:rPr>
              <w:t>July 2, 2021</w:t>
            </w:r>
          </w:p>
        </w:tc>
      </w:tr>
      <w:tr>
        <w:trPr>
          <w:trHeight w:val="209"/>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Contract Assets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59,438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48,135</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Unbilled receivables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39,667</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37,521</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commissions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 and unearned revenue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32,304</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Unearned revenue, long-term</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8,496</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8,592</w:t>
            </w: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Significant changes in contract balances may arise as a result of recognition over time for services, transfer of control for equipment, and periodic payments (both in arrears and in advance).</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October 1, 2021, we had $44.0 million in advance payments and unearned revenue and long-term unearned revenue, of which approximately 45% is expected to be recognized as revenue in the remainder of fiscal 2022 and the balance thereafter. During the three months ended October 1, 2021 we recognized $6.9 million of revenue which was included in advance payments and unearned revenue at the beginning of the reporting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aggregate amount of transaction price allocated to our unsatisfied (or partially unsatisfied) performance obligations was approximately $82.0 million at October 1, 2021. Of this amount, we expect to recognize approximately 70% as revenue during the next 12 months, with the remaining amount to be recognized as revenue within two to five years.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7. Segment and Geographic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operate in one reportable business segment: the design, manufacturing, and sale of a range of wireless networking products, solutions, and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financial performance is regularly reviewed by our chief operating decision maker who is our Chief Executive Officer (“CEO”).</w:t>
      </w:r>
    </w:p>
    <w:p>
      <w:pPr>
        <w:spacing w:after="0" w:line="15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We report revenue by region and country based on the location where our customers accept delivery of our products and services. Revenue by region for the three months ended October 1, 2021 and October 2, 2020 was as follows:</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October 1,</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78"/>
              <w:spacing w:after="0" w:line="129" w:lineRule="exact"/>
              <w:rPr>
                <w:sz w:val="20"/>
                <w:szCs w:val="20"/>
                <w:color w:val="auto"/>
              </w:rPr>
            </w:pPr>
            <w:r>
              <w:rPr>
                <w:rFonts w:ascii="Arial" w:cs="Arial" w:eastAsia="Arial" w:hAnsi="Arial"/>
                <w:sz w:val="14"/>
                <w:szCs w:val="14"/>
                <w:b w:val="1"/>
                <w:bCs w:val="1"/>
                <w:color w:val="auto"/>
              </w:rPr>
              <w:t>October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7"/>
                <w:szCs w:val="17"/>
                <w:color w:val="auto"/>
              </w:rPr>
              <w:t>Africa and the Middle East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 and Russia</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7,958</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loss of a significant portion of business from any significant customers could adversely affect our unaudited condensed consolidated financial statements.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Customers accounting for 10% or more of our total revenue were as follows:</w:t>
      </w:r>
    </w:p>
    <w:p>
      <w:pPr>
        <w:spacing w:after="0" w:line="4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134"/>
        </w:trPr>
        <w:tc>
          <w:tcPr>
            <w:tcW w:w="7140" w:type="dxa"/>
            <w:vAlign w:val="bottom"/>
          </w:tcPr>
          <w:p>
            <w:pPr>
              <w:spacing w:after="0"/>
              <w:rPr>
                <w:sz w:val="11"/>
                <w:szCs w:val="11"/>
                <w:color w:val="auto"/>
              </w:rPr>
            </w:pPr>
          </w:p>
        </w:tc>
        <w:tc>
          <w:tcPr>
            <w:tcW w:w="1220" w:type="dxa"/>
            <w:vAlign w:val="bottom"/>
            <w:tcBorders>
              <w:top w:val="single" w:sz="8" w:color="auto"/>
            </w:tcBorders>
          </w:tcPr>
          <w:p>
            <w:pPr>
              <w:jc w:val="center"/>
              <w:ind w:left="370"/>
              <w:spacing w:after="0" w:line="134" w:lineRule="exact"/>
              <w:rPr>
                <w:sz w:val="20"/>
                <w:szCs w:val="20"/>
                <w:color w:val="auto"/>
              </w:rPr>
            </w:pPr>
            <w:r>
              <w:rPr>
                <w:rFonts w:ascii="Arial" w:cs="Arial" w:eastAsia="Arial" w:hAnsi="Arial"/>
                <w:sz w:val="14"/>
                <w:szCs w:val="14"/>
                <w:b w:val="1"/>
                <w:bCs w:val="1"/>
                <w:color w:val="auto"/>
                <w:w w:val="89"/>
              </w:rPr>
              <w:t>October 1,</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w w:val="89"/>
              </w:rPr>
              <w:t>October 2,</w:t>
            </w:r>
          </w:p>
        </w:tc>
        <w:tc>
          <w:tcPr>
            <w:tcW w:w="80" w:type="dxa"/>
            <w:vAlign w:val="bottom"/>
          </w:tcPr>
          <w:p>
            <w:pPr>
              <w:spacing w:after="0"/>
              <w:rPr>
                <w:sz w:val="11"/>
                <w:szCs w:val="11"/>
                <w:color w:val="auto"/>
              </w:rPr>
            </w:pPr>
          </w:p>
        </w:tc>
      </w:tr>
      <w:tr>
        <w:trPr>
          <w:trHeight w:val="183"/>
        </w:trPr>
        <w:tc>
          <w:tcPr>
            <w:tcW w:w="7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216"/>
        </w:trPr>
        <w:tc>
          <w:tcPr>
            <w:tcW w:w="8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Motorola Solutions, Inc.</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bl>
    <w:p>
      <w:pPr>
        <w:spacing w:after="0" w:line="79" w:lineRule="exact"/>
        <w:rPr>
          <w:sz w:val="20"/>
          <w:szCs w:val="20"/>
          <w:color w:val="auto"/>
        </w:rPr>
      </w:pPr>
    </w:p>
    <w:p>
      <w:pPr>
        <w:ind w:left="480" w:hanging="240"/>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Less than 10.0%</w:t>
      </w:r>
    </w:p>
    <w:p>
      <w:pPr>
        <w:spacing w:after="0" w:line="170"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Customers accounting for 10% or more of our accounts receivable were as follows:</w:t>
      </w:r>
    </w:p>
    <w:p>
      <w:pPr>
        <w:spacing w:after="0" w:line="43"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October 1, 2021</w:t>
            </w:r>
          </w:p>
        </w:tc>
        <w:tc>
          <w:tcPr>
            <w:tcW w:w="1700" w:type="dxa"/>
            <w:vAlign w:val="bottom"/>
          </w:tcPr>
          <w:p>
            <w:pPr>
              <w:jc w:val="right"/>
              <w:ind w:right="419"/>
              <w:spacing w:after="0"/>
              <w:rPr>
                <w:sz w:val="20"/>
                <w:szCs w:val="20"/>
                <w:color w:val="auto"/>
              </w:rPr>
            </w:pPr>
            <w:r>
              <w:rPr>
                <w:rFonts w:ascii="Arial" w:cs="Arial" w:eastAsia="Arial" w:hAnsi="Arial"/>
                <w:sz w:val="14"/>
                <w:szCs w:val="14"/>
                <w:b w:val="1"/>
                <w:bCs w:val="1"/>
                <w:color w:val="auto"/>
              </w:rPr>
              <w:t>July 2, 2021</w:t>
            </w:r>
          </w:p>
        </w:tc>
      </w:tr>
      <w:tr>
        <w:trPr>
          <w:trHeight w:val="220"/>
        </w:trPr>
        <w:tc>
          <w:tcPr>
            <w:tcW w:w="6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Motorola Solutions, Inc.</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920" w:type="dxa"/>
            <w:vAlign w:val="bottom"/>
          </w:tcPr>
          <w:p>
            <w:pPr>
              <w:ind w:left="220"/>
              <w:spacing w:after="0"/>
              <w:rPr>
                <w:sz w:val="20"/>
                <w:szCs w:val="20"/>
                <w:color w:val="auto"/>
              </w:rPr>
            </w:pPr>
            <w:r>
              <w:rPr>
                <w:rFonts w:ascii="Arial" w:cs="Arial" w:eastAsia="Arial" w:hAnsi="Arial"/>
                <w:sz w:val="17"/>
                <w:szCs w:val="17"/>
                <w:color w:val="auto"/>
              </w:rPr>
              <w:t>Mobile Telephone Networks Group (MTN Group)</w:t>
            </w:r>
          </w:p>
        </w:tc>
        <w:tc>
          <w:tcPr>
            <w:tcW w:w="1680" w:type="dxa"/>
            <w:vAlign w:val="bottom"/>
          </w:tcPr>
          <w:p>
            <w:pPr>
              <w:jc w:val="right"/>
              <w:spacing w:after="0"/>
              <w:rPr>
                <w:sz w:val="20"/>
                <w:szCs w:val="20"/>
                <w:color w:val="auto"/>
              </w:rPr>
            </w:pPr>
            <w:r>
              <w:rPr>
                <w:rFonts w:ascii="Arial" w:cs="Arial" w:eastAsia="Arial" w:hAnsi="Arial"/>
                <w:sz w:val="17"/>
                <w:szCs w:val="17"/>
                <w:color w:val="auto"/>
              </w:rPr>
              <w:t>10 %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14 %</w:t>
            </w:r>
          </w:p>
        </w:tc>
      </w:tr>
    </w:tbl>
    <w:p>
      <w:pPr>
        <w:spacing w:after="0" w:line="79"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Less than 10.0%</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May 2018, our board of directors approved a stock repurchase program, which does not have an expiration date, for the repurchase of up to $7.5 million of our common stock.</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October 1, 2021, $1.9 million remained available under our stock repurchase program. The repurchase program was suspended temporarily from February 2020 to February 2021. During the first quarter of fiscal 2022, we repurchased 22,543 shares of our common stock in the open market for an aggregate purchase price, including commissions, of $0.7 million. These shares were recorded as treasury stock and we do not anticipate retiring them. Treasury stock did not participate in the two-for-one stock split in the form of a stock dividend paid on April 7, 2021.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Programs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October 1, 2021,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jc w:val="both"/>
        <w:ind w:firstLine="470"/>
        <w:spacing w:after="0" w:line="288" w:lineRule="auto"/>
        <w:rPr>
          <w:sz w:val="20"/>
          <w:szCs w:val="20"/>
          <w:color w:val="auto"/>
        </w:rPr>
      </w:pPr>
      <w:r>
        <w:rPr>
          <w:rFonts w:ascii="Arial" w:cs="Arial" w:eastAsia="Arial" w:hAnsi="Arial"/>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three months ended October 1, 2021, we granted 46,533 restricted stock units, 46,533 market-based stock units and 114,012 stock options to purchase shares of our common stock.</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October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jc w:val="right"/>
              <w:ind w:right="337"/>
              <w:spacing w:after="0" w:line="129" w:lineRule="exact"/>
              <w:rPr>
                <w:sz w:val="20"/>
                <w:szCs w:val="20"/>
                <w:color w:val="auto"/>
              </w:rPr>
            </w:pPr>
            <w:r>
              <w:rPr>
                <w:rFonts w:ascii="Arial" w:cs="Arial" w:eastAsia="Arial" w:hAnsi="Arial"/>
                <w:sz w:val="14"/>
                <w:szCs w:val="14"/>
                <w:b w:val="1"/>
                <w:bCs w:val="1"/>
                <w:color w:val="auto"/>
                <w:w w:val="98"/>
              </w:rPr>
              <w:t>October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gridSpan w:val="4"/>
            <w:vMerge w:val="continue"/>
          </w:tcPr>
          <w:p>
            <w:pPr>
              <w:spacing w:after="0"/>
              <w:rPr>
                <w:sz w:val="15"/>
                <w:szCs w:val="15"/>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gridSpan w:val="4"/>
            <w:shd w:val="clear" w:color="auto" w:fill="CCEEFF"/>
          </w:tcPr>
          <w:p>
            <w:pPr>
              <w:ind w:left="480"/>
              <w:spacing w:after="0" w:line="163" w:lineRule="exact"/>
              <w:rPr>
                <w:sz w:val="20"/>
                <w:szCs w:val="20"/>
                <w:color w:val="auto"/>
              </w:rPr>
            </w:pPr>
            <w:r>
              <w:rPr>
                <w:rFonts w:ascii="Arial" w:cs="Arial" w:eastAsia="Arial" w:hAnsi="Arial"/>
                <w:sz w:val="17"/>
                <w:szCs w:val="17"/>
                <w:b w:val="1"/>
                <w:bCs w:val="1"/>
                <w:color w:val="auto"/>
              </w:rPr>
              <w:t>By Expense Category:</w:t>
            </w:r>
          </w:p>
        </w:tc>
        <w:tc>
          <w:tcPr>
            <w:tcW w:w="1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gridSpan w:val="2"/>
          </w:tcPr>
          <w:p>
            <w:pPr>
              <w:ind w:left="120"/>
              <w:spacing w:after="0"/>
              <w:rPr>
                <w:sz w:val="20"/>
                <w:szCs w:val="20"/>
                <w:color w:val="auto"/>
              </w:rPr>
            </w:pPr>
            <w:r>
              <w:rPr>
                <w:rFonts w:ascii="Arial" w:cs="Arial" w:eastAsia="Arial" w:hAnsi="Arial"/>
                <w:sz w:val="17"/>
                <w:szCs w:val="17"/>
                <w:color w:val="auto"/>
              </w:rPr>
              <w:t>Cost of revenues</w:t>
            </w:r>
          </w:p>
        </w:tc>
        <w:tc>
          <w:tcPr>
            <w:tcW w:w="35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ind w:right="899"/>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Selling and administrative</w:t>
            </w: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15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4"/>
            <w:vMerge w:val="restart"/>
          </w:tcPr>
          <w:p>
            <w:pPr>
              <w:ind w:left="480"/>
              <w:spacing w:after="0" w:line="169" w:lineRule="exact"/>
              <w:rPr>
                <w:sz w:val="20"/>
                <w:szCs w:val="20"/>
                <w:color w:val="auto"/>
              </w:rPr>
            </w:pPr>
            <w:r>
              <w:rPr>
                <w:rFonts w:ascii="Arial" w:cs="Arial" w:eastAsia="Arial" w:hAnsi="Arial"/>
                <w:sz w:val="17"/>
                <w:szCs w:val="17"/>
                <w:b w:val="1"/>
                <w:bCs w:val="1"/>
                <w:color w:val="auto"/>
              </w:rPr>
              <w:t>By Types of Award:</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700" w:type="dxa"/>
            <w:vAlign w:val="bottom"/>
            <w:gridSpan w:val="4"/>
            <w:vMerge w:val="continue"/>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Options</w:t>
            </w:r>
          </w:p>
        </w:tc>
        <w:tc>
          <w:tcPr>
            <w:tcW w:w="3760" w:type="dxa"/>
            <w:vAlign w:val="bottom"/>
            <w:gridSpan w:val="2"/>
            <w:shd w:val="clear" w:color="auto" w:fill="CCEEFF"/>
          </w:tcPr>
          <w:p>
            <w:pPr>
              <w:spacing w:after="0"/>
              <w:rPr>
                <w:sz w:val="20"/>
                <w:szCs w:val="20"/>
                <w:color w:val="auto"/>
              </w:rPr>
            </w:pPr>
          </w:p>
        </w:tc>
        <w:tc>
          <w:tcPr>
            <w:tcW w:w="1560" w:type="dxa"/>
            <w:vAlign w:val="bottom"/>
            <w:shd w:val="clear" w:color="auto" w:fill="CCEEFF"/>
          </w:tcPr>
          <w:p>
            <w:pPr>
              <w:jc w:val="right"/>
              <w:ind w:right="89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Restricted and performance stock awards and units</w:t>
            </w: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15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October 1, 2021, there was approximately $1.6 million of total unrecognized compensation expense related to non-vested stock options granted which is expected to be recognized over a weighted-average period of 1.8 years. As of October 1, 2021, there was $6.0 million of total unrecognized compensation expense related to non-vested stock awards which is expected to be recognized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8" w:name="page19"/>
    <w:bookmarkEnd w:id="18"/>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Restructuring Activities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restructuring-related activities:</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6"/>
            <w:vMerge w:val="restart"/>
          </w:tcPr>
          <w:p>
            <w:pPr>
              <w:jc w:val="center"/>
              <w:ind w:left="176"/>
              <w:spacing w:after="0"/>
              <w:rPr>
                <w:sz w:val="20"/>
                <w:szCs w:val="20"/>
                <w:color w:val="auto"/>
              </w:rPr>
            </w:pPr>
            <w:r>
              <w:rPr>
                <w:rFonts w:ascii="Arial" w:cs="Arial" w:eastAsia="Arial" w:hAnsi="Arial"/>
                <w:sz w:val="14"/>
                <w:szCs w:val="14"/>
                <w:b w:val="1"/>
                <w:bCs w:val="1"/>
                <w:color w:val="auto"/>
                <w:w w:val="87"/>
              </w:rPr>
              <w:t>Severance and Benefits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Facilities and</w:t>
            </w:r>
          </w:p>
        </w:tc>
        <w:tc>
          <w:tcPr>
            <w:tcW w:w="240" w:type="dxa"/>
            <w:vAlign w:val="bottom"/>
          </w:tcPr>
          <w:p>
            <w:pPr>
              <w:spacing w:after="0"/>
              <w:rPr>
                <w:sz w:val="14"/>
                <w:szCs w:val="14"/>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2021 Plan</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Q4 2020 Plan</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Prior Years' Plan</w:t>
            </w:r>
          </w:p>
        </w:tc>
        <w:tc>
          <w:tcPr>
            <w:tcW w:w="100" w:type="dxa"/>
            <w:vAlign w:val="bottom"/>
          </w:tcPr>
          <w:p>
            <w:pPr>
              <w:spacing w:after="0"/>
              <w:rPr>
                <w:sz w:val="15"/>
                <w:szCs w:val="15"/>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Prior Years’ plan</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Accrual balance, July 2, 2021</w:t>
            </w: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22"/>
        </w:trPr>
        <w:tc>
          <w:tcPr>
            <w:tcW w:w="3300" w:type="dxa"/>
            <w:vAlign w:val="bottom"/>
          </w:tcPr>
          <w:p>
            <w:pPr>
              <w:ind w:left="120"/>
              <w:spacing w:after="0"/>
              <w:rPr>
                <w:sz w:val="20"/>
                <w:szCs w:val="20"/>
                <w:color w:val="auto"/>
              </w:rPr>
            </w:pPr>
            <w:r>
              <w:rPr>
                <w:rFonts w:ascii="Arial" w:cs="Arial" w:eastAsia="Arial" w:hAnsi="Arial"/>
                <w:sz w:val="17"/>
                <w:szCs w:val="17"/>
                <w:color w:val="auto"/>
              </w:rPr>
              <w:t>Charges</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payments</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22"/>
        </w:trPr>
        <w:tc>
          <w:tcPr>
            <w:tcW w:w="3300" w:type="dxa"/>
            <w:vAlign w:val="bottom"/>
          </w:tcPr>
          <w:p>
            <w:pPr>
              <w:ind w:left="120"/>
              <w:spacing w:after="0"/>
              <w:rPr>
                <w:sz w:val="20"/>
                <w:szCs w:val="20"/>
                <w:color w:val="auto"/>
              </w:rPr>
            </w:pPr>
            <w:r>
              <w:rPr>
                <w:rFonts w:ascii="Arial" w:cs="Arial" w:eastAsia="Arial" w:hAnsi="Arial"/>
                <w:sz w:val="17"/>
                <w:szCs w:val="17"/>
                <w:color w:val="auto"/>
              </w:rPr>
              <w:t>Foreign exchange impact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Accrual balance, October 1, 2021</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October 1, 2021, the accrual balance of $3.0 million was in short-term restructuring liabilities on our unaudited condensed consolidated balance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sheets.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Plan</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During the third and fourth quarter of fiscal 2021, our Board of Directors approved a restructuring plan (the “Fiscal 2021 Plan”) to continue to reduce our operating costs and improve profitability. Payments related to the accrued restructuring balances for this plan are expected to be fully paid in fiscal 2022.</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Q4 2020 Plan</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fourth quarter of fiscal 2020, our Board of Directors approved a restructuring plan (the “Q4 2020 Plan”) in order to continue to reduce our operating costs and improve profitability to optimize our business model and increase efficiencies. Payments related to the accrued restructuring liability balance for this plan are expected to be fully paid in fiscal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 Years’ Plan</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January 2018, we reached a settlement with a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Payments related to the accrued restructuring liability balance for this plan are expected to be paid in fiscal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Income Taxes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2022.</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determination of our income taxes for the three months ended October 1, 2021 and October 2, 2020 was based on our estimated annual effective tax rate adjusted for losses in certain jurisdictions for which no tax benefit can be recognized. Our tax benefit for the three months ended October 1, 2021 was primarily due to tax expense related to U.S. and profitable subsidiaries. The tax expense for the three months ended October 2, 2020 was primarily due to tax expense related to profitable subsidiaries.</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entered into a tax sharing agreement with Harris Corporation (“Harris”) effective on January 26, 2007, the acquisition date of Stratex Networks, Inc. The tax sharing agreement addresses, among other things, the settlement process associated with pre-merger tax liabilities and tax attributes that were attributable to the Microwave Communication Division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right="100"/>
        <w:spacing w:after="0" w:line="321" w:lineRule="auto"/>
        <w:rPr>
          <w:sz w:val="20"/>
          <w:szCs w:val="20"/>
          <w:color w:val="auto"/>
        </w:rPr>
      </w:pPr>
      <w:r>
        <w:rPr>
          <w:rFonts w:ascii="Arial" w:cs="Arial" w:eastAsia="Arial" w:hAnsi="Arial"/>
          <w:sz w:val="16"/>
          <w:szCs w:val="16"/>
          <w:color w:val="auto"/>
        </w:rPr>
        <w:t>when it was a division of Harris. There have been no settlement payments recorded since the acquisition date. To the extent we become more profitable in the U.S. in the future and utilize these tax attributes, we may be required to make certain payments to Harris which are currently not estimable.</w:t>
      </w:r>
    </w:p>
    <w:p>
      <w:pPr>
        <w:spacing w:after="0" w:line="83"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11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was not material for the three months ending October 1, 2021 and October 2, 2020.</w:t>
      </w:r>
    </w:p>
    <w:p>
      <w:pPr>
        <w:spacing w:after="0" w:line="106" w:lineRule="exact"/>
        <w:rPr>
          <w:sz w:val="20"/>
          <w:szCs w:val="20"/>
          <w:color w:val="auto"/>
        </w:rPr>
      </w:pPr>
    </w:p>
    <w:p>
      <w:pPr>
        <w:jc w:val="both"/>
        <w:ind w:right="100" w:firstLine="470"/>
        <w:spacing w:after="0" w:line="358" w:lineRule="auto"/>
        <w:rPr>
          <w:sz w:val="20"/>
          <w:szCs w:val="20"/>
          <w:color w:val="auto"/>
        </w:rPr>
      </w:pPr>
      <w:r>
        <w:rPr>
          <w:rFonts w:ascii="Arial" w:cs="Arial" w:eastAsia="Arial" w:hAnsi="Arial"/>
          <w:sz w:val="15"/>
          <w:szCs w:val="15"/>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6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CAA and ARPA and the impact they may have on our future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Net Income Per Share of Common Stock</w:t>
      </w:r>
    </w:p>
    <w:p>
      <w:pPr>
        <w:spacing w:after="0" w:line="176" w:lineRule="exact"/>
        <w:rPr>
          <w:sz w:val="20"/>
          <w:szCs w:val="20"/>
          <w:color w:val="auto"/>
        </w:rPr>
      </w:pPr>
    </w:p>
    <w:p>
      <w:pPr>
        <w:jc w:val="both"/>
        <w:ind w:right="100" w:firstLine="470"/>
        <w:spacing w:after="0" w:line="264"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7"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 The following table presents the computation of basic and diluted net income per share:</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 except per share amounts)</w:t>
            </w:r>
          </w:p>
        </w:tc>
        <w:tc>
          <w:tcPr>
            <w:tcW w:w="700" w:type="dxa"/>
            <w:vAlign w:val="bottom"/>
          </w:tcPr>
          <w:p>
            <w:pPr>
              <w:spacing w:after="0"/>
              <w:rPr>
                <w:sz w:val="11"/>
                <w:szCs w:val="11"/>
                <w:color w:val="auto"/>
              </w:rPr>
            </w:pPr>
          </w:p>
        </w:tc>
        <w:tc>
          <w:tcPr>
            <w:tcW w:w="136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October 1,</w:t>
            </w:r>
          </w:p>
        </w:tc>
        <w:tc>
          <w:tcPr>
            <w:tcW w:w="820" w:type="dxa"/>
            <w:vAlign w:val="bottom"/>
          </w:tcPr>
          <w:p>
            <w:pPr>
              <w:spacing w:after="0"/>
              <w:rPr>
                <w:sz w:val="11"/>
                <w:szCs w:val="11"/>
                <w:color w:val="auto"/>
              </w:rPr>
            </w:pPr>
          </w:p>
        </w:tc>
        <w:tc>
          <w:tcPr>
            <w:tcW w:w="1140" w:type="dxa"/>
            <w:vAlign w:val="bottom"/>
          </w:tcPr>
          <w:p>
            <w:pPr>
              <w:jc w:val="right"/>
              <w:ind w:right="357"/>
              <w:spacing w:after="0" w:line="129" w:lineRule="exact"/>
              <w:rPr>
                <w:sz w:val="20"/>
                <w:szCs w:val="20"/>
                <w:color w:val="auto"/>
              </w:rPr>
            </w:pPr>
            <w:r>
              <w:rPr>
                <w:rFonts w:ascii="Arial" w:cs="Arial" w:eastAsia="Arial" w:hAnsi="Arial"/>
                <w:sz w:val="14"/>
                <w:szCs w:val="14"/>
                <w:b w:val="1"/>
                <w:bCs w:val="1"/>
                <w:color w:val="auto"/>
                <w:w w:val="98"/>
              </w:rPr>
              <w:t>October 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Numerator:</w:t>
            </w: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4,682</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Weighted-average shares outstanding, basic</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Effect of potentially dilutive equivalent shares</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Weighted-average shares outstanding, diluted</w:t>
            </w:r>
          </w:p>
        </w:tc>
        <w:tc>
          <w:tcPr>
            <w:tcW w:w="7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Net income per share of common stock outstanding:</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60" w:type="dxa"/>
            <w:vAlign w:val="bottom"/>
          </w:tcPr>
          <w:p>
            <w:pPr>
              <w:ind w:left="160"/>
              <w:spacing w:after="0"/>
              <w:rPr>
                <w:sz w:val="20"/>
                <w:szCs w:val="20"/>
                <w:color w:val="auto"/>
              </w:rPr>
            </w:pPr>
            <w:r>
              <w:rPr>
                <w:rFonts w:ascii="Arial" w:cs="Arial" w:eastAsia="Arial" w:hAnsi="Arial"/>
                <w:sz w:val="17"/>
                <w:szCs w:val="17"/>
                <w:color w:val="auto"/>
              </w:rPr>
              <w:t>Basic</w:t>
            </w:r>
          </w:p>
        </w:tc>
        <w:tc>
          <w:tcPr>
            <w:tcW w:w="7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20" w:name="page21"/>
    <w:bookmarkEnd w:id="20"/>
    <w:p>
      <w:pPr>
        <w:jc w:val="both"/>
        <w:ind w:firstLine="470"/>
        <w:spacing w:after="0" w:line="288" w:lineRule="auto"/>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 since they were anti-dilutive:</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3320" w:type="dxa"/>
            <w:vAlign w:val="bottom"/>
            <w:gridSpan w:val="4"/>
          </w:tcPr>
          <w:p>
            <w:pPr>
              <w:ind w:left="1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73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top w:val="single" w:sz="8" w:color="auto"/>
            </w:tcBorders>
            <w:gridSpan w:val="2"/>
          </w:tcPr>
          <w:p>
            <w:pPr>
              <w:ind w:left="700"/>
              <w:spacing w:after="0" w:line="129" w:lineRule="exact"/>
              <w:rPr>
                <w:sz w:val="20"/>
                <w:szCs w:val="20"/>
                <w:color w:val="auto"/>
              </w:rPr>
            </w:pPr>
            <w:r>
              <w:rPr>
                <w:rFonts w:ascii="Arial" w:cs="Arial" w:eastAsia="Arial" w:hAnsi="Arial"/>
                <w:sz w:val="14"/>
                <w:szCs w:val="14"/>
                <w:b w:val="1"/>
                <w:bCs w:val="1"/>
                <w:color w:val="auto"/>
              </w:rPr>
              <w:t>October 1,</w:t>
            </w:r>
          </w:p>
        </w:tc>
        <w:tc>
          <w:tcPr>
            <w:tcW w:w="1560" w:type="dxa"/>
            <w:vAlign w:val="bottom"/>
            <w:tcBorders>
              <w:top w:val="single" w:sz="8" w:color="auto"/>
            </w:tcBorders>
          </w:tcPr>
          <w:p>
            <w:pPr>
              <w:jc w:val="right"/>
              <w:ind w:right="160"/>
              <w:spacing w:after="0" w:line="129"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36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Stock options</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and performance stock units</w:t>
            </w: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shares of common stock excluded</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 and Other Commitments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October 1, 2021, we had outstanding purchase obligations with our suppliers or contract manufacturers of $43.8 million. In addition, we had contractual obligations of approximately $4.0 million associated with software licenses as of October 1, 2021.</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Guarantees and Commercial Commitments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October 1, 2021, we had no guarantees applicable to our debt arrangements.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October 1, 2021, we had commercial commitments of $64.0 million outstanding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October 1, 2021,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October 1, 2021, we had not recorded any liabilities related to these indemnifications.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are subject from time to time to disputes with customers concerning our products and services. In May 2016, we received notification of a claim for damages from a customer alleging that certain of our products were defective which we settled with an immaterial amount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1" w:name="page22"/>
    <w:bookmarkEnd w:id="21"/>
    <w:p>
      <w:pPr>
        <w:jc w:val="both"/>
        <w:ind w:firstLine="470"/>
        <w:spacing w:after="0" w:line="26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7"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7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2" w:name="page23"/>
    <w:bookmarkEnd w:id="22"/>
    <w:p>
      <w:pPr>
        <w:jc w:val="both"/>
        <w:spacing w:after="0" w:line="267" w:lineRule="auto"/>
        <w:rPr>
          <w:sz w:val="20"/>
          <w:szCs w:val="20"/>
          <w:color w:val="auto"/>
        </w:rPr>
      </w:pPr>
      <w:r>
        <w:rPr>
          <w:rFonts w:ascii="Arial" w:cs="Arial" w:eastAsia="Arial" w:hAnsi="Arial"/>
          <w:sz w:val="17"/>
          <w:szCs w:val="17"/>
          <w:color w:val="auto"/>
        </w:rPr>
        <w:t>extent normal economic and operating activities can resume.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gross margin in the current quarter was negatively impacted by inflationary pressures incurred to overcome supply chain and logistical bottlenecks. These were partially offset by price increases and surcharges. We continue to monitor, assess and adapt to the situation and prepare for implications to our business, supply chain and customer demand. We expect these challenges to continue until business and economic activities return to more normal levels. The financial results for the three months ended October 1, 2021 reflect some of the reduced activity experienced during the period in various locations around the world and are not necessarily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258" w:lineRule="exact"/>
        <w:rPr>
          <w:sz w:val="20"/>
          <w:szCs w:val="20"/>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COVID-19 on our business, operations and cash flows;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continued price and margin erosion as a result of increased competition in the microwave transmission industry;</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volume, timing, and customer, product, and geographic mix of our product orders;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financial covenant requirements which could impact, among other things, our liquidity;</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timing of our receipt of payment for products or services from our customers;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projected new product development dates or anticipated cost reductions of new products;</w:t>
      </w:r>
    </w:p>
    <w:p>
      <w:pPr>
        <w:spacing w:after="0" w:line="105" w:lineRule="exact"/>
        <w:rPr>
          <w:rFonts w:ascii="Arial" w:cs="Arial" w:eastAsia="Arial" w:hAnsi="Arial"/>
          <w:sz w:val="17"/>
          <w:szCs w:val="17"/>
          <w:i w:val="1"/>
          <w:iCs w:val="1"/>
          <w:color w:val="auto"/>
        </w:rPr>
      </w:pPr>
    </w:p>
    <w:p>
      <w:pPr>
        <w:ind w:left="940" w:right="300" w:hanging="308"/>
        <w:spacing w:after="0" w:line="369" w:lineRule="auto"/>
        <w:tabs>
          <w:tab w:leader="none" w:pos="936"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suppliers’ inability to perform and deliver on time as a result of their financial condition, component shortages, the effects of COVID-19 or other supply chain constraints;</w:t>
      </w: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customer acceptance of new products;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our subcontractors to timely perform;</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weakness in the global economy affecting customer spending;</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retention of our key personnel;</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manage and maintain key customer relationships;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uncertain economic conditions in the telecommunications sector combined with operator and supplier consolidation;</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failure to protect our intellectual property rights or defend against intellectual property infringement claims by others;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results of our restructuring efforts;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to preserve and use our net operating loss carryforwards;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24" w:name="page25"/>
    <w:bookmarkEnd w:id="24"/>
    <w:p>
      <w:pPr>
        <w:ind w:left="940" w:right="4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current and future government regulations, including the effects of current restrictions on various commercial and economic activities in response to the COVID-19 pandemic;</w:t>
      </w:r>
    </w:p>
    <w:p>
      <w:pPr>
        <w:ind w:left="940" w:right="16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general economic conditions, including uncertainty regarding the timing, pace and extent of an economic recovery in the United States and other countries where we conduct business;</w:t>
      </w: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conduct of unethical business practices in developing countries;</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political turmoil in countries where we have significant business;</w:t>
      </w:r>
    </w:p>
    <w:p>
      <w:pPr>
        <w:spacing w:after="0" w:line="105" w:lineRule="exact"/>
        <w:rPr>
          <w:rFonts w:ascii="Arial" w:cs="Arial" w:eastAsia="Arial" w:hAnsi="Arial"/>
          <w:sz w:val="17"/>
          <w:szCs w:val="17"/>
          <w:i w:val="1"/>
          <w:iCs w:val="1"/>
          <w:color w:val="auto"/>
        </w:rPr>
      </w:pPr>
    </w:p>
    <w:p>
      <w:pPr>
        <w:ind w:left="940" w:right="620" w:hanging="308"/>
        <w:spacing w:after="0" w:line="369" w:lineRule="auto"/>
        <w:tabs>
          <w:tab w:leader="none" w:pos="93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w:t>
      </w: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financial covenant requirements which could impact, among other things, our liquidity; and</w:t>
      </w:r>
    </w:p>
    <w:p>
      <w:pPr>
        <w:spacing w:after="0" w:line="105" w:lineRule="exact"/>
        <w:rPr>
          <w:rFonts w:ascii="Arial" w:cs="Arial" w:eastAsia="Arial" w:hAnsi="Arial"/>
          <w:sz w:val="17"/>
          <w:szCs w:val="17"/>
          <w:i w:val="1"/>
          <w:iCs w:val="1"/>
          <w:color w:val="auto"/>
        </w:rPr>
      </w:pPr>
    </w:p>
    <w:p>
      <w:pPr>
        <w:ind w:left="940" w:hanging="308"/>
        <w:spacing w:after="0"/>
        <w:tabs>
          <w:tab w:leader="none" w:pos="9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implement our stock repurchase program or the extent to which it enhances long-term stockholder value.</w:t>
      </w:r>
    </w:p>
    <w:p>
      <w:pPr>
        <w:spacing w:after="0" w:line="21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Other factors besides those listed here could also adversely affect us. See “Item 1A. Risk Factors” in our fiscal 2021 Annual Report on Form 10-K filed with the SEC on August 25, 2021 for more information regarding factors that may cause our results to differ materially from those expressed or implied by the forward-looking statements contained in this Quarterly Report on Form 10-Q.</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Business; Operating Environment and Key Factors Impacting Fiscal 2022 and 2021 Results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1, 2022 is referred to as “fiscal 2022” or “2022” and our fiscal year ended July 2, 2021 is referred to as “fiscal 2021” or “2021.”</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We anticipate growth in revenue in fiscal 2022. We continue to have a backlog entering the first quarter of fiscal 2022 and we anticipate continuing our strong momentum across all verticals. We have made inroads into the U.S. rural broadband and wireless internet service provider areas, and there is now further evidence of investment to support 5G deployments with our U.S. service provider customers. We have also seen further growth for our international regions.</w:t>
      </w:r>
    </w:p>
    <w:p>
      <w:pPr>
        <w:spacing w:after="0" w:line="86"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to, the duration and spread of the pandemic, its severity, the actions to contain the virus or treat its impact, including the ongoing vaccination efforts, any new variant strains of the underlying virus, and how quickly and to what extent normal economic and operating activities can resume. Management is actively monitoring the impact of the COVID-19 pandemic on our financial condition, liquidity, operations, suppliers, industry, and workforce.</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gross margin in the current quarter was negatively impacted by inflationary pressures incurred to overcome supply chain and logistical bottlenecks. These were partially offset by price increases and surcharges. We are monitoring, assessing and adapting to the situation and preparing for possible implications to our business, supply chain and customer demand. We expect the potential for these challenges to continue until business and economic activities return to more normal levels. The financial results for the three months ended October 1, 2021 reflect some of the reduced activity experienced during the period in various locations around the world and are not necessarily indicative of the results for the full year.</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Review</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market for mobile backhaul continued to be our primary addressable market segment globally in the first three months of fiscal 2022.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25, 2021, a number of factors could prevent us from achieving our objectives, including ongoing pricing pressures attributable to competition and macroeconomic conditions in the geographic markets that we serve.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(1) Africa and the Middle East, (2) Europe and Russia, and (3) Latin America and Asia Pacific. Revenue by region for the three months ended October 1, 2021 and October 2, 2020 and the related changes were as follows:</w:t>
      </w:r>
    </w:p>
    <w:p>
      <w:pPr>
        <w:spacing w:after="0" w:line="83"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0"/>
              </w:rPr>
              <w:t>October 1, 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0"/>
              </w:rPr>
              <w:t>October 2, 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45,499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shd w:val="clear" w:color="auto" w:fill="CCEEFF"/>
          </w:tcPr>
          <w:p>
            <w:pPr>
              <w:spacing w:after="0"/>
              <w:rPr>
                <w:sz w:val="17"/>
                <w:szCs w:val="17"/>
                <w:color w:val="auto"/>
              </w:rPr>
            </w:pP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Africa and the Middle East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10,571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 and Russia</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8"/>
                <w:szCs w:val="18"/>
                <w:color w:val="auto"/>
              </w:rPr>
            </w:pPr>
          </w:p>
        </w:tc>
      </w:tr>
      <w:tr>
        <w:trPr>
          <w:trHeight w:val="20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 and Asia Pacific</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7,958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CCEEFF"/>
            </w:tcBorders>
          </w:tcPr>
          <w:p>
            <w:pPr>
              <w:spacing w:after="0"/>
              <w:rPr>
                <w:sz w:val="17"/>
                <w:szCs w:val="17"/>
                <w:color w:val="auto"/>
              </w:rPr>
            </w:pPr>
          </w:p>
        </w:tc>
      </w:tr>
      <w:tr>
        <w:trPr>
          <w:trHeight w:val="23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66,290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revenue in North America increased by $5.4 million, or 12.0%, during the first quarter of fiscal 2022 compared with the same period of fiscal 2021. The increase in North America revenue during the first three months of fiscal 2022 was primarily due to an increase in revenue from private network projects and rural broadband sales.</w:t>
      </w:r>
    </w:p>
    <w:p>
      <w:pPr>
        <w:spacing w:after="0" w:line="11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Our revenue in Africa and the Middle East increased by $0.1 million or 1.2% during the first quarter of fiscal 2022 compared with the same period of fiscal 2021. This increase in revenue during the first three months of fiscal 2022 was primarily due to increased sales to mobile operators in the region.</w:t>
      </w:r>
    </w:p>
    <w:p>
      <w:pPr>
        <w:spacing w:after="0" w:line="8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Revenue in Europe and Russia increased by $0.4 million, or 19.5%, for the first quarter of fiscal 2022 compared with the same period of fiscal 2021. This increase during the first three months of fiscal 2022 was primarily due to increased sales to private networks in the region.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6" w:name="page27"/>
    <w:bookmarkEnd w:id="26"/>
    <w:p>
      <w:pPr>
        <w:jc w:val="both"/>
        <w:ind w:firstLine="470"/>
        <w:spacing w:after="0" w:line="288" w:lineRule="auto"/>
        <w:rPr>
          <w:sz w:val="20"/>
          <w:szCs w:val="20"/>
          <w:color w:val="auto"/>
        </w:rPr>
      </w:pPr>
      <w:r>
        <w:rPr>
          <w:rFonts w:ascii="Arial" w:cs="Arial" w:eastAsia="Arial" w:hAnsi="Arial"/>
          <w:sz w:val="17"/>
          <w:szCs w:val="17"/>
          <w:color w:val="auto"/>
        </w:rPr>
        <w:t>Revenue in Latin America and Asia Pacific increased by $0.9 million, or 10.8%, during the first quarter of fiscal 2022 compared with the same period of fiscal 2021. The increase during the first three months of fiscal 2022 was primarily due to increased sales to mobile operators in the region.</w:t>
      </w:r>
    </w:p>
    <w:p>
      <w:pPr>
        <w:spacing w:after="0" w:line="70"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0"/>
              </w:rPr>
              <w:t>October 1, 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w w:val="90"/>
              </w:rPr>
              <w:t>October 2,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80" w:type="dxa"/>
            <w:vAlign w:val="bottom"/>
            <w:shd w:val="clear" w:color="auto" w:fill="CCEEFF"/>
          </w:tcPr>
          <w:p>
            <w:pPr>
              <w:spacing w:after="0"/>
              <w:rPr>
                <w:sz w:val="17"/>
                <w:szCs w:val="17"/>
                <w:color w:val="auto"/>
              </w:rPr>
            </w:pPr>
          </w:p>
        </w:tc>
      </w:tr>
      <w:tr>
        <w:trPr>
          <w:trHeight w:val="206"/>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2.2 %</w:t>
            </w:r>
          </w:p>
        </w:tc>
        <w:tc>
          <w:tcPr>
            <w:tcW w:w="80" w:type="dxa"/>
            <w:vAlign w:val="bottom"/>
            <w:tcBorders>
              <w:bottom w:val="single" w:sz="8" w:color="CCEEFF"/>
            </w:tcBorders>
          </w:tcPr>
          <w:p>
            <w:pPr>
              <w:spacing w:after="0"/>
              <w:rPr>
                <w:sz w:val="17"/>
                <w:szCs w:val="17"/>
                <w:color w:val="auto"/>
              </w:rPr>
            </w:pPr>
          </w:p>
        </w:tc>
      </w:tr>
      <w:tr>
        <w:trPr>
          <w:trHeight w:val="23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revenue from product sales increased by $6.4 million, or 14.4%, for the first quarter of fiscal 2022 compared with the same quarter of fiscal 2021.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services revenue increased by $0.5 million, or 2.2%, during the first quarter of fiscal 2022 compared with the same quarter of fiscal 2021.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(In thousands, except percentages)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3"/>
              </w:rPr>
              <w:t>October 1, 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w w:val="95"/>
              </w:rPr>
              <w:t>October 2, 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73,158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66,290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7"/>
                <w:szCs w:val="17"/>
                <w:color w:val="auto"/>
              </w:rPr>
            </w:pPr>
          </w:p>
        </w:tc>
      </w:tr>
      <w:tr>
        <w:trPr>
          <w:trHeight w:val="20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47,077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42,041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Borders>
              <w:bottom w:val="single" w:sz="8" w:color="CCEEFF"/>
            </w:tcBorders>
          </w:tcPr>
          <w:p>
            <w:pPr>
              <w:spacing w:after="0"/>
              <w:rPr>
                <w:sz w:val="17"/>
                <w:szCs w:val="17"/>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26,081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24,249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3700" w:type="dxa"/>
            <w:vAlign w:val="bottom"/>
          </w:tcPr>
          <w:p>
            <w:pPr>
              <w:ind w:left="160"/>
              <w:spacing w:after="0"/>
              <w:rPr>
                <w:sz w:val="20"/>
                <w:szCs w:val="20"/>
                <w:color w:val="auto"/>
              </w:rPr>
            </w:pPr>
            <w:r>
              <w:rPr>
                <w:rFonts w:ascii="Arial" w:cs="Arial" w:eastAsia="Arial" w:hAnsi="Arial"/>
                <w:sz w:val="16"/>
                <w:szCs w:val="16"/>
                <w:color w:val="auto"/>
              </w:rPr>
              <w:t>% of revenue</w:t>
            </w:r>
          </w:p>
        </w:tc>
        <w:tc>
          <w:tcPr>
            <w:tcW w:w="3220" w:type="dxa"/>
            <w:vAlign w:val="bottom"/>
          </w:tcPr>
          <w:p>
            <w:pPr>
              <w:jc w:val="right"/>
              <w:ind w:right="302"/>
              <w:spacing w:after="0"/>
              <w:rPr>
                <w:sz w:val="20"/>
                <w:szCs w:val="20"/>
                <w:color w:val="auto"/>
              </w:rPr>
            </w:pPr>
            <w:r>
              <w:rPr>
                <w:rFonts w:ascii="Arial" w:cs="Arial" w:eastAsia="Arial" w:hAnsi="Arial"/>
                <w:sz w:val="16"/>
                <w:szCs w:val="16"/>
                <w:color w:val="auto"/>
              </w:rPr>
              <w:t>35.7 %</w:t>
            </w:r>
          </w:p>
        </w:tc>
        <w:tc>
          <w:tcPr>
            <w:tcW w:w="3220" w:type="dxa"/>
            <w:vAlign w:val="bottom"/>
          </w:tcPr>
          <w:p>
            <w:pPr>
              <w:jc w:val="right"/>
              <w:ind w:right="2322"/>
              <w:spacing w:after="0"/>
              <w:rPr>
                <w:sz w:val="20"/>
                <w:szCs w:val="20"/>
                <w:color w:val="auto"/>
              </w:rPr>
            </w:pPr>
            <w:r>
              <w:rPr>
                <w:rFonts w:ascii="Arial" w:cs="Arial" w:eastAsia="Arial" w:hAnsi="Arial"/>
                <w:sz w:val="16"/>
                <w:szCs w:val="16"/>
                <w:color w:val="auto"/>
              </w:rPr>
              <w:t>36.6 %</w:t>
            </w:r>
          </w:p>
        </w:tc>
      </w:tr>
      <w:tr>
        <w:trPr>
          <w:trHeight w:val="212"/>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Product margin %</w:t>
            </w:r>
          </w:p>
        </w:tc>
        <w:tc>
          <w:tcPr>
            <w:tcW w:w="32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37.2 %</w:t>
            </w:r>
          </w:p>
        </w:tc>
        <w:tc>
          <w:tcPr>
            <w:tcW w:w="3220" w:type="dxa"/>
            <w:vAlign w:val="bottom"/>
            <w:shd w:val="clear" w:color="auto" w:fill="CCEEFF"/>
          </w:tcPr>
          <w:p>
            <w:pPr>
              <w:jc w:val="right"/>
              <w:ind w:right="2322"/>
              <w:spacing w:after="0"/>
              <w:rPr>
                <w:sz w:val="20"/>
                <w:szCs w:val="20"/>
                <w:color w:val="auto"/>
              </w:rPr>
            </w:pPr>
            <w:r>
              <w:rPr>
                <w:rFonts w:ascii="Arial" w:cs="Arial" w:eastAsia="Arial" w:hAnsi="Arial"/>
                <w:sz w:val="16"/>
                <w:szCs w:val="16"/>
                <w:color w:val="auto"/>
              </w:rPr>
              <w:t>37.2 %</w:t>
            </w:r>
          </w:p>
        </w:tc>
      </w:tr>
      <w:tr>
        <w:trPr>
          <w:trHeight w:val="203"/>
        </w:trPr>
        <w:tc>
          <w:tcPr>
            <w:tcW w:w="3700" w:type="dxa"/>
            <w:vAlign w:val="bottom"/>
          </w:tcPr>
          <w:p>
            <w:pPr>
              <w:ind w:left="160"/>
              <w:spacing w:after="0"/>
              <w:rPr>
                <w:sz w:val="20"/>
                <w:szCs w:val="20"/>
                <w:color w:val="auto"/>
              </w:rPr>
            </w:pPr>
            <w:r>
              <w:rPr>
                <w:rFonts w:ascii="Arial" w:cs="Arial" w:eastAsia="Arial" w:hAnsi="Arial"/>
                <w:sz w:val="16"/>
                <w:szCs w:val="16"/>
                <w:color w:val="auto"/>
              </w:rPr>
              <w:t>Service margin %</w:t>
            </w:r>
          </w:p>
        </w:tc>
        <w:tc>
          <w:tcPr>
            <w:tcW w:w="3220" w:type="dxa"/>
            <w:vAlign w:val="bottom"/>
          </w:tcPr>
          <w:p>
            <w:pPr>
              <w:jc w:val="right"/>
              <w:ind w:right="302"/>
              <w:spacing w:after="0"/>
              <w:rPr>
                <w:sz w:val="20"/>
                <w:szCs w:val="20"/>
                <w:color w:val="auto"/>
              </w:rPr>
            </w:pPr>
            <w:r>
              <w:rPr>
                <w:rFonts w:ascii="Arial" w:cs="Arial" w:eastAsia="Arial" w:hAnsi="Arial"/>
                <w:sz w:val="16"/>
                <w:szCs w:val="16"/>
                <w:color w:val="auto"/>
              </w:rPr>
              <w:t>32.1 %</w:t>
            </w:r>
          </w:p>
        </w:tc>
        <w:tc>
          <w:tcPr>
            <w:tcW w:w="3220" w:type="dxa"/>
            <w:vAlign w:val="bottom"/>
          </w:tcPr>
          <w:p>
            <w:pPr>
              <w:jc w:val="right"/>
              <w:ind w:right="2322"/>
              <w:spacing w:after="0"/>
              <w:rPr>
                <w:sz w:val="20"/>
                <w:szCs w:val="20"/>
                <w:color w:val="auto"/>
              </w:rPr>
            </w:pPr>
            <w:r>
              <w:rPr>
                <w:rFonts w:ascii="Arial" w:cs="Arial" w:eastAsia="Arial" w:hAnsi="Arial"/>
                <w:sz w:val="16"/>
                <w:szCs w:val="16"/>
                <w:color w:val="auto"/>
              </w:rPr>
              <w:t>35.3 %</w:t>
            </w:r>
          </w:p>
        </w:tc>
      </w:tr>
    </w:tbl>
    <w:p>
      <w:pPr>
        <w:spacing w:after="0" w:line="24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Gross margin for the first quarter of fiscal 2022 increased by $1.8 million, or 7.6% compared with the same quarter of fiscal 2021. Our gross margin in the current quarter was negatively impacted by inflationary pressures incurred to overcome supply chain and logistical bottlenecks. These were partially offset by price increases and surcharges.</w:t>
      </w:r>
    </w:p>
    <w:p>
      <w:pPr>
        <w:spacing w:after="0" w:line="15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Product margin as a percentage of product revenue was flat compared to the same period in 2021. While first quarter fiscal 2022 product sales volume increased in higher margin segments, increased supply chain costs offset those margin gains, holding margin rates even with the first quarter of fiscal 2021. Service margin rates decreased in North America and in the international markets compared to the first quarter of fiscal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2021</w:t>
            </w: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 2020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5,910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4,847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1,063</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42"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Our research and development expenses increased by $1.1 million or 21.9% in the first three months of fiscal 2022 compared with the same periods of fiscal 2021 primarily due to increased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Selling and Administrative Expenses</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2021</w:t>
            </w: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 2020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12,698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12,837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29"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Our selling and administrative expenses decreased by $0.1 million, or 1.1%, in the first quarter of fiscal 2022 compared with the same period in fiscal 2021. The decreases for the first three months of fiscal 2022 compared to comparable periods of fiscal 2021 were primarily due to restructuring savings.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43"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w w:val="90"/>
              </w:rPr>
              <w:t>October 1, 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2, 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r>
    </w:tbl>
    <w:p>
      <w:pPr>
        <w:spacing w:after="0" w:line="23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first quarter of fiscal 2022, we recognized restructuring charges of $0.7 million primarily related to the restructuring plan (the “Fiscal 2021 Plan”) approved by our Board of Directors in the third and fourth quarters of fiscal 2021. The Fiscal 2021 Plan is anticipated to entail a reduction in force of approximately 30 employees to be implemented through the second quarter of fiscal year 2022, with a certain number of positions being consolidated and/or relocated.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Interest Expense</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October 1, 2021</w:t>
            </w: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20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20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23" w:lineRule="exact"/>
        <w:rPr>
          <w:sz w:val="20"/>
          <w:szCs w:val="20"/>
          <w:color w:val="auto"/>
        </w:rPr>
      </w:pPr>
    </w:p>
    <w:p>
      <w:pPr>
        <w:ind w:right="560" w:firstLine="470"/>
        <w:spacing w:after="0" w:line="427" w:lineRule="auto"/>
        <w:rPr>
          <w:sz w:val="20"/>
          <w:szCs w:val="20"/>
          <w:color w:val="auto"/>
        </w:rPr>
      </w:pPr>
      <w:r>
        <w:rPr>
          <w:rFonts w:ascii="Arial" w:cs="Arial" w:eastAsia="Arial" w:hAnsi="Arial"/>
          <w:sz w:val="17"/>
          <w:szCs w:val="17"/>
          <w:color w:val="auto"/>
        </w:rPr>
        <w:t xml:space="preserve">Interest income, net reflect interest earned on our cash equivalents, which were comprised of money market funds and bank certificates of deposit. </w:t>
      </w:r>
      <w:r>
        <w:rPr>
          <w:rFonts w:ascii="Arial" w:cs="Arial" w:eastAsia="Arial" w:hAnsi="Arial"/>
          <w:sz w:val="17"/>
          <w:szCs w:val="17"/>
          <w:b w:val="1"/>
          <w:bCs w:val="1"/>
          <w:i w:val="1"/>
          <w:iCs w:val="1"/>
          <w:color w:val="auto"/>
        </w:rPr>
        <w:t>Income Taxes</w:t>
      </w:r>
    </w:p>
    <w:tbl>
      <w:tblPr>
        <w:tblLayout w:type="fixed"/>
        <w:tblInd w:w="44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October 1, 2021</w:t>
            </w: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20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20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225.3 %</w:t>
            </w:r>
          </w:p>
        </w:tc>
        <w:tc>
          <w:tcPr>
            <w:tcW w:w="100" w:type="dxa"/>
            <w:vAlign w:val="bottom"/>
          </w:tcPr>
          <w:p>
            <w:pPr>
              <w:spacing w:after="0"/>
              <w:rPr>
                <w:sz w:val="17"/>
                <w:szCs w:val="17"/>
                <w:color w:val="auto"/>
              </w:rPr>
            </w:pPr>
          </w:p>
        </w:tc>
      </w:tr>
    </w:tbl>
    <w:p>
      <w:pPr>
        <w:spacing w:after="0" w:line="242"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0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tax benefit for the first quarter of fiscal 2022 was primarily due to the tax expense related to U.S. profitable subsidiaries. The tax expense for the first quarter of fiscal 2021 was primarily related to profitable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8" w:name="page29"/>
    <w:bookmarkEnd w:id="28"/>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Cash</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October 1, 2021, our total cash and cash equivalents were $47.3 million. Approximately $24.2 million, or 51.1%, was held in the United States. The remaining balance of $23.2 million, or 48.9%, was held by entities outside the United States. Of the amount of cash and cash equivalents held by our foreign subsidiaries on October 1, 2021, $20.9 million was held in jurisdictions where our undistributed earnings are indefinitely reinvested, and if repatriated, would be subject to foreign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Cash provided by or used in operating activities is presented as net income adjusted for non-cash items and changes in operating assets and liabilities. Net cash provided by operating activities was $0.7 million for the first three months of fiscal 2022, compared to $4.2 million for the first three months of fiscal 2021; this difference was primarily related to a net change in Accounts receivable and partially offset by the net change in Accounts payable. Net cash provided by noncash items was $3.9 million for the first three months of 2022. The net changes in operating assets and liabilities resulted in a net use of cash of $7.9 million for the first three months of fiscal 2022, compared to net use of cash $4.5 million for the same period in fiscal 2021.</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Changes in operating assets and liabilities resulted in a net use of cash for the first three months of fiscal 2022 primarily related to the timing of payments of Accounts payable offset by the use of cash by Accounts receivable that fluctuate from period to period, depending on the amount, timing of sales and billing activities and cash collections.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used in investing activities was $0.3 million and $1.0 million for the first three months of fiscal 2022 and 2021, respectively, which consisted of capital expenditures. During the remainder of fiscal year 2022, we expect to spend approximately $1 million to $2 million for capital expenditures, primarily on equipment for development and manufacturing of new products and IT infrastructure.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Financing cash flows consist primarily of proceeds from and repayments of short-term debt, repurchase of stock and proceeds from the sale of shares of common stock through employee equity plans. Net cash used in financing activities was $0.8 million for the first three months of fiscal 2022, primarily due to the purchase of treasury stock of $0.7 million.</w:t>
      </w:r>
    </w:p>
    <w:p>
      <w:pPr>
        <w:spacing w:after="0" w:line="11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of October 1, 2021, our principal sources of liquidity consisted of $47.3 million in cash and cash equivalents and $22.5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spacing w:after="0" w:line="13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potential issuances of debt or equity securities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We may prepay loans under the SVB Credit Facility in whole or in part at any time without premium or penalty. As of October 1, 2021, available credit under the SVB Credit Facility was $22.5 million reflecting the calculated borrowing base of $25.0 million less outstanding letters of credit of $2.5 million. We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88" w:lineRule="auto"/>
        <w:rPr>
          <w:sz w:val="20"/>
          <w:szCs w:val="20"/>
          <w:color w:val="auto"/>
        </w:rPr>
      </w:pPr>
      <w:r>
        <w:rPr>
          <w:rFonts w:ascii="Arial" w:cs="Arial" w:eastAsia="Arial" w:hAnsi="Arial"/>
          <w:sz w:val="17"/>
          <w:szCs w:val="17"/>
          <w:color w:val="auto"/>
        </w:rPr>
        <w:t>did not borrow against the SVB Credit Facility during the first quarter of fiscal 2022 and there was no borrowing outstanding as of October 1, 2021 or July 2, 2021.</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October 1, 2021, we were in compliance with the quarterly financial covenants, as amended, contained in the SVB Credit Facility and there was no amount outstanding under the SVB Credit Facility.</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October 1, 2021 and July 2, 2021. The line of credit also provides for the issuance of standby letters of credit and company credit cards, of which $0.1 million was outstanding as of October 1, 2021 and July 2, 2021. This facility may be terminated upon notice, is reviewed annually for renewal or modification, and is supported by a corporate guarantee.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Payments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had liabilities for restructuring activities totaling $3.0 million as of October 1, 2021, which were classified as current liabilities and expected to be paid out in cash over the next 12 months. We expect to fund these future payments with available cash and cash provided by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amounts disclosed in our fiscal 2021 Annual Report on Form 10-K filed with the SEC on August 25, 2021 include our commercial commitments and contractual obligations. During the first three months of fiscal 2022, no material changes occurred in our contractual obligations to purchase goods and services or to make payments under operating leases or our contingent liabilities on outstanding letters of credit, guarantees, and other arrangements as disclosed in our fiscal 2021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consider the following items to qualify as off-balance sheet arrangements:</w:t>
      </w:r>
    </w:p>
    <w:p>
      <w:pPr>
        <w:spacing w:after="0" w:line="170" w:lineRule="exact"/>
        <w:rPr>
          <w:sz w:val="20"/>
          <w:szCs w:val="20"/>
          <w:color w:val="auto"/>
        </w:rPr>
      </w:pPr>
    </w:p>
    <w:p>
      <w:pPr>
        <w:ind w:left="620" w:hanging="14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under certain guarantee contracts;</w:t>
      </w:r>
    </w:p>
    <w:p>
      <w:pPr>
        <w:spacing w:after="0" w:line="170" w:lineRule="exact"/>
        <w:rPr>
          <w:rFonts w:ascii="Arial" w:cs="Arial" w:eastAsia="Arial" w:hAnsi="Arial"/>
          <w:sz w:val="17"/>
          <w:szCs w:val="17"/>
          <w:color w:val="auto"/>
        </w:rPr>
      </w:pPr>
    </w:p>
    <w:p>
      <w:pPr>
        <w:ind w:firstLine="475"/>
        <w:spacing w:after="0" w:line="288" w:lineRule="auto"/>
        <w:tabs>
          <w:tab w:leader="none" w:pos="623" w:val="left"/>
        </w:tabs>
        <w:numPr>
          <w:ilvl w:val="0"/>
          <w:numId w:val="8"/>
        </w:numPr>
        <w:rPr>
          <w:rFonts w:ascii="Arial" w:cs="Arial" w:eastAsia="Arial" w:hAnsi="Arial"/>
          <w:sz w:val="17"/>
          <w:szCs w:val="17"/>
          <w:color w:val="auto"/>
        </w:rPr>
      </w:pPr>
      <w:r>
        <w:rPr>
          <w:rFonts w:ascii="Arial" w:cs="Arial" w:eastAsia="Arial" w:hAnsi="Arial"/>
          <w:sz w:val="17"/>
          <w:szCs w:val="17"/>
          <w:color w:val="auto"/>
        </w:rPr>
        <w:t>a retained or contingent interest in assets transferred to an unconsolidated entity or similar entity or similar arrangement that serves as credit, liquidity or market risk support to that entity for such assets;</w:t>
      </w:r>
    </w:p>
    <w:p>
      <w:pPr>
        <w:spacing w:after="0" w:line="105" w:lineRule="exact"/>
        <w:rPr>
          <w:rFonts w:ascii="Arial" w:cs="Arial" w:eastAsia="Arial" w:hAnsi="Arial"/>
          <w:sz w:val="17"/>
          <w:szCs w:val="17"/>
          <w:color w:val="auto"/>
        </w:rPr>
      </w:pPr>
    </w:p>
    <w:p>
      <w:pPr>
        <w:ind w:left="620" w:hanging="14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including a contingent obligation, under certain derivative instruments; and</w:t>
      </w:r>
    </w:p>
    <w:p>
      <w:pPr>
        <w:spacing w:after="0" w:line="170" w:lineRule="exact"/>
        <w:rPr>
          <w:rFonts w:ascii="Arial" w:cs="Arial" w:eastAsia="Arial" w:hAnsi="Arial"/>
          <w:sz w:val="17"/>
          <w:szCs w:val="17"/>
          <w:color w:val="auto"/>
        </w:rPr>
      </w:pPr>
    </w:p>
    <w:p>
      <w:pPr>
        <w:ind w:firstLine="475"/>
        <w:spacing w:after="0" w:line="288" w:lineRule="auto"/>
        <w:tabs>
          <w:tab w:leader="none" w:pos="623"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October 1, 2021, we did not have material financial guarantees or other contractual commitments that are reasonably likely to adversely affect our current or future financial condition. In addition, we are not currently a party to any related party transactions that materially affect our results of operations, cash flows or financial condition.</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October 1, 2021, we had commercial commitments of $64.0 million.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fiscal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Risk</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October 1, 2021, we had no foreign currency forward contracts.</w:t>
      </w:r>
    </w:p>
    <w:p>
      <w:pPr>
        <w:spacing w:after="0" w:line="170"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Net foreign exchange expense recorded in our unaudited condensed consolidated statements of operations during the three months ended October 1, 2021 and October 2, 2020 was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jc w:val="center"/>
              <w:ind w:left="266"/>
              <w:spacing w:after="0" w:line="129" w:lineRule="exact"/>
              <w:rPr>
                <w:sz w:val="20"/>
                <w:szCs w:val="20"/>
                <w:color w:val="auto"/>
              </w:rPr>
            </w:pPr>
            <w:r>
              <w:rPr>
                <w:rFonts w:ascii="Arial" w:cs="Arial" w:eastAsia="Arial" w:hAnsi="Arial"/>
                <w:sz w:val="14"/>
                <w:szCs w:val="14"/>
                <w:b w:val="1"/>
                <w:bCs w:val="1"/>
                <w:color w:val="auto"/>
                <w:w w:val="89"/>
              </w:rPr>
              <w:t>October 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05"/>
              <w:spacing w:after="0" w:line="129" w:lineRule="exact"/>
              <w:rPr>
                <w:sz w:val="20"/>
                <w:szCs w:val="20"/>
                <w:color w:val="auto"/>
              </w:rPr>
            </w:pPr>
            <w:r>
              <w:rPr>
                <w:rFonts w:ascii="Arial" w:cs="Arial" w:eastAsia="Arial" w:hAnsi="Arial"/>
                <w:sz w:val="14"/>
                <w:szCs w:val="14"/>
                <w:b w:val="1"/>
                <w:bCs w:val="1"/>
                <w:color w:val="auto"/>
                <w:w w:val="89"/>
              </w:rPr>
              <w:t>October 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included in costs of revenues</w:t>
            </w:r>
          </w:p>
        </w:tc>
        <w:tc>
          <w:tcPr>
            <w:tcW w:w="1200" w:type="dxa"/>
            <w:vAlign w:val="bottom"/>
            <w:shd w:val="clear" w:color="auto" w:fill="CCEEFF"/>
          </w:tcPr>
          <w:p>
            <w:pPr>
              <w:jc w:val="right"/>
              <w:ind w:right="1026"/>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5"/>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2022 and 2021 was $(0.2) million and $0.4 million, respectively, and was included as a component of stockholders’ equity. As of October 1, 2021 and July 2, 2021, the cumulative translation adjustment decreased our equity by $14.5 million and $14.3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Exposure on Cash Equivalents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had $47.3 million in total cash and cash equivalents as of October 1, 2021. Cash equivalents totaled $20.6 million as of October 1, 2021 and were comprised of money market funds and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 Assets and Liabilities” of the Notes to unaudited condensed consolidated financial statements in this Quarterly Report on Form 10-Q.</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cash equivalents earn interest at fixed rates; therefore, changes in interest rates will not generate a gain or loss on these investments unless they are sold prior to maturity. The weighted-average days to maturity for cash equivalents held as of October 1, 2021 was 28 days, and these investments had an average yield of approximately 3.39% per annum. A 10% change in interest rates on our cash equivalents is not expected to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Exposure on Borrowings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borrowings under the SVB Credit Facility incurred interest at the prime rate plus a spread of 0.50% to 1.50% with such spread determined based on our adjusted quick ratio. During the first three months of fiscal 2022, our weighted-average interest rate was 3.75%, and the interest expense on these borrowings was immaterial.</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Based on management’s evaluation, with the participation of our President and CEO, and CFO, as of October 1, 2021,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There were no changes to our internal controls over financial reporting as defined in Rules 13a-15(f) or 15d-15(f) that occurred during the quarter ended October 1, 2021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7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2" w:name="page33"/>
    <w:bookmarkEnd w:id="32"/>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a discussion of legal proceedings as of October 1, 2021,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6"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Investors should carefully review and consider the information regarding certain factors which could materially affect our business, operating results, cash flows, and financial condition set forth under Item 1A, Risk Factors, in our fiscal 2020 Annual Report on Form 10-K filed with the SEC on August 25, 2021.</w:t>
      </w:r>
    </w:p>
    <w:p>
      <w:pPr>
        <w:spacing w:after="0" w:line="6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May 2018, our board of directors approved a stock repurchase program, which does not have an expiration date, for the repurchase of up to $7.5 million of our common stock. During the first quarter of fiscal 2022, we repurchased 22,543 shares of our common stock in the open market for an aggregate purchase price, including commissions, of $0.7 million. These shares were recorded as treasury stock and we do not anticipate retiring them. As of October 1, 2021, $1.9 million remained available under our stock repurchase program.</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is a summary of stock repurchases for the three months ended October 1, 2021: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Average Price Paid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Number of Shares</w:t>
            </w: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Approximate Dollar Value of Shares that</w:t>
            </w: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1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Repurchased as Part of Publicly</w:t>
            </w:r>
          </w:p>
        </w:tc>
        <w:tc>
          <w:tcPr>
            <w:tcW w:w="140" w:type="dxa"/>
            <w:vAlign w:val="bottom"/>
          </w:tcPr>
          <w:p>
            <w:pPr>
              <w:spacing w:after="0"/>
              <w:rPr>
                <w:sz w:val="11"/>
                <w:szCs w:val="11"/>
                <w:color w:val="auto"/>
              </w:rPr>
            </w:pPr>
          </w:p>
        </w:tc>
        <w:tc>
          <w:tcPr>
            <w:tcW w:w="234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90"/>
              </w:rPr>
              <w:t>May Yet be Repurchased Under the</w:t>
            </w:r>
          </w:p>
        </w:tc>
        <w:tc>
          <w:tcPr>
            <w:tcW w:w="0" w:type="dxa"/>
            <w:vAlign w:val="bottom"/>
          </w:tcPr>
          <w:p>
            <w:pPr>
              <w:spacing w:after="0"/>
              <w:rPr>
                <w:sz w:val="1"/>
                <w:szCs w:val="1"/>
                <w:color w:val="auto"/>
              </w:rPr>
            </w:pPr>
          </w:p>
        </w:tc>
      </w:tr>
      <w:tr>
        <w:trPr>
          <w:trHeight w:val="183"/>
        </w:trPr>
        <w:tc>
          <w:tcPr>
            <w:tcW w:w="3680" w:type="dxa"/>
            <w:vAlign w:val="bottom"/>
            <w:gridSpan w:val="2"/>
            <w:vMerge w:val="continue"/>
          </w:tcPr>
          <w:p>
            <w:pPr>
              <w:spacing w:after="0"/>
              <w:rPr>
                <w:sz w:val="15"/>
                <w:szCs w:val="15"/>
                <w:color w:val="auto"/>
              </w:rPr>
            </w:pPr>
          </w:p>
        </w:tc>
        <w:tc>
          <w:tcPr>
            <w:tcW w:w="1500" w:type="dxa"/>
            <w:vAlign w:val="bottom"/>
          </w:tcPr>
          <w:p>
            <w:pPr>
              <w:jc w:val="right"/>
              <w:ind w:right="279"/>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Announced Program</w:t>
            </w:r>
          </w:p>
        </w:tc>
        <w:tc>
          <w:tcPr>
            <w:tcW w:w="140" w:type="dxa"/>
            <w:vAlign w:val="bottom"/>
          </w:tcPr>
          <w:p>
            <w:pPr>
              <w:spacing w:after="0"/>
              <w:rPr>
                <w:sz w:val="15"/>
                <w:szCs w:val="15"/>
                <w:color w:val="auto"/>
              </w:rPr>
            </w:pPr>
          </w:p>
        </w:tc>
        <w:tc>
          <w:tcPr>
            <w:tcW w:w="2340" w:type="dxa"/>
            <w:vAlign w:val="bottom"/>
          </w:tcPr>
          <w:p>
            <w:pPr>
              <w:jc w:val="center"/>
              <w:ind w:right="60"/>
              <w:spacing w:after="0" w:line="183" w:lineRule="exact"/>
              <w:rPr>
                <w:sz w:val="20"/>
                <w:szCs w:val="20"/>
                <w:color w:val="auto"/>
              </w:rPr>
            </w:pPr>
            <w:r>
              <w:rPr>
                <w:rFonts w:ascii="Arial" w:cs="Arial" w:eastAsia="Arial" w:hAnsi="Arial"/>
                <w:sz w:val="14"/>
                <w:szCs w:val="14"/>
                <w:b w:val="1"/>
                <w:bCs w:val="1"/>
                <w:color w:val="auto"/>
                <w:w w:val="89"/>
              </w:rPr>
              <w:t xml:space="preserve">Program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199"/>
        </w:trPr>
        <w:tc>
          <w:tcPr>
            <w:tcW w:w="3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7"/>
              </w:rPr>
              <w:t>(in thousands)</w:t>
            </w:r>
          </w:p>
        </w:tc>
        <w:tc>
          <w:tcPr>
            <w:tcW w:w="0" w:type="dxa"/>
            <w:vAlign w:val="bottom"/>
          </w:tcPr>
          <w:p>
            <w:pPr>
              <w:spacing w:after="0"/>
              <w:rPr>
                <w:sz w:val="1"/>
                <w:szCs w:val="1"/>
                <w:color w:val="auto"/>
              </w:rPr>
            </w:pPr>
          </w:p>
        </w:tc>
      </w:tr>
      <w:tr>
        <w:trPr>
          <w:trHeight w:val="22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3, 2021 through July 30, 2021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July 31, 2021 through August 24, 2021</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234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25, 2021 through October 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15"/>
        </w:trPr>
        <w:tc>
          <w:tcPr>
            <w:tcW w:w="368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firstLine="5"/>
        <w:spacing w:after="0" w:line="278" w:lineRule="auto"/>
        <w:tabs>
          <w:tab w:leader="none" w:pos="176"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In May 2018, our Board of Directors approved a stock repurchase program, which does not have an expiration date, for the repurchase of up to $7.5 million of our common stock.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Item 5. Other Information</w:t>
      </w:r>
    </w:p>
    <w:p>
      <w:pPr>
        <w:spacing w:after="0" w:line="188" w:lineRule="exact"/>
        <w:rPr>
          <w:sz w:val="20"/>
          <w:szCs w:val="20"/>
          <w:color w:val="auto"/>
        </w:rPr>
      </w:pPr>
    </w:p>
    <w:p>
      <w:pPr>
        <w:jc w:val="center"/>
        <w:ind w:right="9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exhibits are filed herewith or incorporated by reference to exhibits previously filed with the SEC: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40" w:type="dxa"/>
            <w:vAlign w:val="bottom"/>
            <w:gridSpan w:val="10"/>
          </w:tcPr>
          <w:p>
            <w:pPr>
              <w:ind w:left="40"/>
              <w:spacing w:after="0"/>
              <w:rPr>
                <w:sz w:val="20"/>
                <w:szCs w:val="20"/>
                <w:color w:val="auto"/>
              </w:rPr>
            </w:pPr>
            <w:r>
              <w:rPr>
                <w:rFonts w:ascii="Arial" w:cs="Arial" w:eastAsia="Arial" w:hAnsi="Arial"/>
                <w:sz w:val="14"/>
                <w:szCs w:val="14"/>
                <w:b w:val="1"/>
                <w:bCs w:val="1"/>
                <w:color w:val="auto"/>
              </w:rPr>
              <w:t>Descriptions</w:t>
            </w:r>
          </w:p>
        </w:tc>
      </w:tr>
      <w:tr>
        <w:trPr>
          <w:trHeight w:val="181"/>
        </w:trPr>
        <w:tc>
          <w:tcPr>
            <w:tcW w:w="112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7"/>
                <w:szCs w:val="17"/>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00" w:type="dxa"/>
            <w:vAlign w:val="bottom"/>
            <w:tcBorders>
              <w:top w:val="single" w:sz="8" w:color="auto"/>
            </w:tcBorders>
            <w:gridSpan w:val="12"/>
            <w:shd w:val="clear" w:color="auto" w:fill="CCEEFF"/>
          </w:tcPr>
          <w:p>
            <w:pPr>
              <w:spacing w:after="0" w:line="181" w:lineRule="exact"/>
              <w:rPr>
                <w:rFonts w:ascii="Arial" w:cs="Arial" w:eastAsia="Arial" w:hAnsi="Arial"/>
                <w:sz w:val="17"/>
                <w:szCs w:val="17"/>
                <w:color w:val="0000FF"/>
                <w:w w:val="98"/>
              </w:rPr>
            </w:pPr>
            <w:hyperlink r:id="rId48">
              <w:r>
                <w:rPr>
                  <w:rFonts w:ascii="Arial" w:cs="Arial" w:eastAsia="Arial" w:hAnsi="Arial"/>
                  <w:sz w:val="17"/>
                  <w:szCs w:val="17"/>
                  <w:color w:val="0000FF"/>
                  <w:w w:val="98"/>
                </w:rPr>
                <w:t>Amended and Restated Certificate of Incorporation of Aviat Networks, Inc., as amended (incorporated by reference to Exhibit 3.1 to the</w:t>
              </w:r>
            </w:hyperlink>
          </w:p>
        </w:tc>
      </w:tr>
      <w:tr>
        <w:trPr>
          <w:trHeight w:val="169"/>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80" w:type="dxa"/>
            <w:vAlign w:val="bottom"/>
            <w:tcBorders>
              <w:top w:val="single" w:sz="8" w:color="0000FF"/>
              <w:bottom w:val="single" w:sz="8" w:color="0000FF"/>
            </w:tcBorders>
            <w:gridSpan w:val="6"/>
            <w:shd w:val="clear" w:color="auto" w:fill="CCEEFF"/>
          </w:tcPr>
          <w:p>
            <w:pPr>
              <w:spacing w:after="0" w:line="150" w:lineRule="exact"/>
              <w:rPr>
                <w:rFonts w:ascii="Arial" w:cs="Arial" w:eastAsia="Arial" w:hAnsi="Arial"/>
                <w:sz w:val="17"/>
                <w:szCs w:val="17"/>
                <w:color w:val="0000FF"/>
                <w:w w:val="93"/>
              </w:rPr>
            </w:pPr>
            <w:hyperlink r:id="rId48">
              <w:r>
                <w:rPr>
                  <w:rFonts w:ascii="Arial" w:cs="Arial" w:eastAsia="Arial" w:hAnsi="Arial"/>
                  <w:sz w:val="17"/>
                  <w:szCs w:val="17"/>
                  <w:color w:val="0000FF"/>
                  <w:w w:val="93"/>
                </w:rPr>
                <w:t>Current Report on Form 10-Q filed with the SEC on February 10, 2017, File No. 001-33278)</w:t>
              </w:r>
            </w:hyperlink>
          </w:p>
        </w:tc>
        <w:tc>
          <w:tcPr>
            <w:tcW w:w="34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12"/>
          </w:tcPr>
          <w:p>
            <w:pPr>
              <w:spacing w:after="0" w:line="183" w:lineRule="exact"/>
              <w:rPr>
                <w:rFonts w:ascii="Arial" w:cs="Arial" w:eastAsia="Arial" w:hAnsi="Arial"/>
                <w:sz w:val="17"/>
                <w:szCs w:val="17"/>
                <w:color w:val="0000FF"/>
                <w:w w:val="94"/>
              </w:rPr>
            </w:pPr>
            <w:hyperlink r:id="rId49">
              <w:r>
                <w:rPr>
                  <w:rFonts w:ascii="Arial" w:cs="Arial" w:eastAsia="Arial" w:hAnsi="Arial"/>
                  <w:sz w:val="17"/>
                  <w:szCs w:val="17"/>
                  <w:color w:val="0000FF"/>
                  <w:w w:val="94"/>
                </w:rPr>
                <w:t>Amended and Restated Bylaws of Aviat Networks, Inc. (incorporated by reference to Exhibit 3.1 to the Current Report on Form 8-K filed with</w:t>
              </w:r>
            </w:hyperlink>
          </w:p>
        </w:tc>
      </w:tr>
      <w:tr>
        <w:trPr>
          <w:trHeight w:val="159"/>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1"/>
              </w:rPr>
            </w:pPr>
            <w:hyperlink r:id="rId49">
              <w:r>
                <w:rPr>
                  <w:rFonts w:ascii="Arial" w:cs="Arial" w:eastAsia="Arial" w:hAnsi="Arial"/>
                  <w:sz w:val="17"/>
                  <w:szCs w:val="17"/>
                  <w:color w:val="0000FF"/>
                  <w:w w:val="91"/>
                </w:rPr>
                <w:t>the SEC on September 24, 2020, File No. 001-33278)</w:t>
              </w:r>
            </w:hyperlink>
          </w:p>
        </w:tc>
        <w:tc>
          <w:tcPr>
            <w:tcW w:w="6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112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0" w:type="dxa"/>
            <w:vAlign w:val="bottom"/>
            <w:gridSpan w:val="12"/>
            <w:shd w:val="clear" w:color="auto" w:fill="CCEEFF"/>
          </w:tcPr>
          <w:p>
            <w:pPr>
              <w:spacing w:after="0" w:line="193" w:lineRule="exact"/>
              <w:rPr>
                <w:rFonts w:ascii="Arial" w:cs="Arial" w:eastAsia="Arial" w:hAnsi="Arial"/>
                <w:sz w:val="17"/>
                <w:szCs w:val="17"/>
                <w:color w:val="0000FF"/>
                <w:w w:val="94"/>
              </w:rPr>
            </w:pPr>
            <w:hyperlink r:id="rId50">
              <w:r>
                <w:rPr>
                  <w:rFonts w:ascii="Arial" w:cs="Arial" w:eastAsia="Arial" w:hAnsi="Arial"/>
                  <w:sz w:val="17"/>
                  <w:szCs w:val="17"/>
                  <w:color w:val="0000FF"/>
                  <w:w w:val="94"/>
                </w:rPr>
                <w:t>Employment Agreement, dated September 21, 2021 between Aviat Networks, Inc. and David Gray (incorporated by reference to Exhibit 10.1</w:t>
              </w:r>
            </w:hyperlink>
          </w:p>
        </w:tc>
      </w:tr>
      <w:tr>
        <w:trPr>
          <w:trHeight w:val="169"/>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760" w:type="dxa"/>
            <w:vAlign w:val="bottom"/>
            <w:tcBorders>
              <w:top w:val="single" w:sz="8" w:color="0000FF"/>
              <w:bottom w:val="single" w:sz="8" w:color="0000FF"/>
            </w:tcBorders>
            <w:gridSpan w:val="7"/>
            <w:shd w:val="clear" w:color="auto" w:fill="CCEEFF"/>
          </w:tcPr>
          <w:p>
            <w:pPr>
              <w:spacing w:after="0" w:line="150" w:lineRule="exact"/>
              <w:rPr>
                <w:rFonts w:ascii="Arial" w:cs="Arial" w:eastAsia="Arial" w:hAnsi="Arial"/>
                <w:sz w:val="17"/>
                <w:szCs w:val="17"/>
                <w:color w:val="0000FF"/>
                <w:w w:val="93"/>
              </w:rPr>
            </w:pPr>
            <w:hyperlink r:id="rId50">
              <w:r>
                <w:rPr>
                  <w:rFonts w:ascii="Arial" w:cs="Arial" w:eastAsia="Arial" w:hAnsi="Arial"/>
                  <w:sz w:val="17"/>
                  <w:szCs w:val="17"/>
                  <w:color w:val="0000FF"/>
                  <w:w w:val="93"/>
                </w:rPr>
                <w:t>to the Current Report on Form 8-K filed with the SEC on October 18, 2021, File No. 001-33278)</w:t>
              </w:r>
            </w:hyperlink>
          </w:p>
        </w:tc>
        <w:tc>
          <w:tcPr>
            <w:tcW w:w="310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12"/>
          </w:tcPr>
          <w:p>
            <w:pPr>
              <w:spacing w:after="0" w:line="183" w:lineRule="exact"/>
              <w:rPr>
                <w:rFonts w:ascii="Arial" w:cs="Arial" w:eastAsia="Arial" w:hAnsi="Arial"/>
                <w:sz w:val="17"/>
                <w:szCs w:val="17"/>
                <w:color w:val="0000FF"/>
                <w:w w:val="93"/>
              </w:rPr>
            </w:pPr>
            <w:hyperlink r:id="rId51">
              <w:r>
                <w:rPr>
                  <w:rFonts w:ascii="Arial" w:cs="Arial" w:eastAsia="Arial" w:hAnsi="Arial"/>
                  <w:sz w:val="17"/>
                  <w:szCs w:val="17"/>
                  <w:color w:val="0000FF"/>
                  <w:w w:val="93"/>
                </w:rPr>
                <w:t>Amendment to Employment Agreement, dated July 4, 2021, between the Company and Pete Smith (incorporated by reference to Exhibit 10.1</w:t>
              </w:r>
            </w:hyperlink>
          </w:p>
        </w:tc>
      </w:tr>
      <w:tr>
        <w:trPr>
          <w:trHeight w:val="159"/>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4"/>
              </w:rPr>
            </w:pPr>
            <w:hyperlink r:id="rId51">
              <w:r>
                <w:rPr>
                  <w:rFonts w:ascii="Arial" w:cs="Arial" w:eastAsia="Arial" w:hAnsi="Arial"/>
                  <w:sz w:val="17"/>
                  <w:szCs w:val="17"/>
                  <w:color w:val="0000FF"/>
                  <w:w w:val="94"/>
                </w:rPr>
                <w:t>to the Current Report on Form 8-K filed with the SEC on July 3, 2021, File No. 001-33278)</w:t>
              </w:r>
            </w:hyperlink>
          </w:p>
        </w:tc>
        <w:tc>
          <w:tcPr>
            <w:tcW w:w="348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12"/>
        </w:trPr>
        <w:tc>
          <w:tcPr>
            <w:tcW w:w="112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0" w:type="dxa"/>
            <w:vAlign w:val="bottom"/>
            <w:gridSpan w:val="12"/>
            <w:shd w:val="clear" w:color="auto" w:fill="CCEEFF"/>
          </w:tcPr>
          <w:p>
            <w:pPr>
              <w:spacing w:after="0" w:line="193" w:lineRule="exact"/>
              <w:rPr>
                <w:rFonts w:ascii="Arial" w:cs="Arial" w:eastAsia="Arial" w:hAnsi="Arial"/>
                <w:sz w:val="17"/>
                <w:szCs w:val="17"/>
                <w:color w:val="0000FF"/>
              </w:rPr>
            </w:pPr>
            <w:hyperlink w:anchor="page36">
              <w:r>
                <w:rPr>
                  <w:rFonts w:ascii="Arial" w:cs="Arial" w:eastAsia="Arial" w:hAnsi="Arial"/>
                  <w:sz w:val="17"/>
                  <w:szCs w:val="17"/>
                  <w:color w:val="0000FF"/>
                </w:rPr>
                <w:t>Rule 13a-14(a)/15d-14(a) Certification of President and Chief Executive Officer</w:t>
              </w:r>
            </w:hyperlink>
          </w:p>
        </w:tc>
      </w:tr>
      <w:tr>
        <w:trPr>
          <w:trHeight w:val="193"/>
        </w:trPr>
        <w:tc>
          <w:tcPr>
            <w:tcW w:w="112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7"/>
                <w:szCs w:val="17"/>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line="183" w:lineRule="exact"/>
              <w:rPr>
                <w:rFonts w:ascii="Arial" w:cs="Arial" w:eastAsia="Arial" w:hAnsi="Arial"/>
                <w:sz w:val="17"/>
                <w:szCs w:val="17"/>
                <w:color w:val="0000FF"/>
                <w:w w:val="95"/>
              </w:rPr>
            </w:pPr>
            <w:hyperlink w:anchor="page37">
              <w:r>
                <w:rPr>
                  <w:rFonts w:ascii="Arial" w:cs="Arial" w:eastAsia="Arial" w:hAnsi="Arial"/>
                  <w:sz w:val="17"/>
                  <w:szCs w:val="17"/>
                  <w:color w:val="0000FF"/>
                  <w:w w:val="95"/>
                </w:rPr>
                <w:t>Rule 13a-14(a)/15d-14(a) Certification of Chief Financial Officer</w:t>
              </w:r>
            </w:hyperlink>
          </w:p>
        </w:tc>
        <w:tc>
          <w:tcPr>
            <w:tcW w:w="1020" w:type="dxa"/>
            <w:vAlign w:val="bottom"/>
            <w:tcBorders>
              <w:top w:val="single" w:sz="8" w:color="0000FF"/>
            </w:tcBorders>
          </w:tcPr>
          <w:p>
            <w:pPr>
              <w:spacing w:after="0"/>
              <w:rPr>
                <w:sz w:val="16"/>
                <w:szCs w:val="16"/>
                <w:color w:val="auto"/>
              </w:rPr>
            </w:pPr>
          </w:p>
        </w:tc>
        <w:tc>
          <w:tcPr>
            <w:tcW w:w="4420" w:type="dxa"/>
            <w:vAlign w:val="bottom"/>
            <w:tcBorders>
              <w:top w:val="single" w:sz="8" w:color="CCEEFF"/>
            </w:tcBorders>
            <w:gridSpan w:val="9"/>
          </w:tcPr>
          <w:p>
            <w:pPr>
              <w:spacing w:after="0"/>
              <w:rPr>
                <w:sz w:val="16"/>
                <w:szCs w:val="16"/>
                <w:color w:val="auto"/>
              </w:rPr>
            </w:pPr>
          </w:p>
        </w:tc>
      </w:tr>
      <w:tr>
        <w:trPr>
          <w:trHeight w:val="212"/>
        </w:trPr>
        <w:tc>
          <w:tcPr>
            <w:tcW w:w="11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0000FF"/>
            </w:tcBorders>
            <w:gridSpan w:val="4"/>
            <w:shd w:val="clear" w:color="auto" w:fill="CCEEFF"/>
          </w:tcPr>
          <w:p>
            <w:pPr>
              <w:spacing w:after="0" w:line="193" w:lineRule="exact"/>
              <w:rPr>
                <w:rFonts w:ascii="Arial" w:cs="Arial" w:eastAsia="Arial" w:hAnsi="Arial"/>
                <w:sz w:val="17"/>
                <w:szCs w:val="17"/>
                <w:color w:val="0000FF"/>
                <w:w w:val="95"/>
              </w:rPr>
            </w:pPr>
            <w:hyperlink w:anchor="page38">
              <w:r>
                <w:rPr>
                  <w:rFonts w:ascii="Arial" w:cs="Arial" w:eastAsia="Arial" w:hAnsi="Arial"/>
                  <w:sz w:val="17"/>
                  <w:szCs w:val="17"/>
                  <w:color w:val="0000FF"/>
                  <w:w w:val="95"/>
                </w:rPr>
                <w:t>Section 1350 Certification of Chief Executive Officer and Chief Financial Officer</w:t>
              </w:r>
            </w:hyperlink>
          </w:p>
        </w:tc>
        <w:tc>
          <w:tcPr>
            <w:tcW w:w="4300" w:type="dxa"/>
            <w:vAlign w:val="bottom"/>
            <w:tcBorders>
              <w:bottom w:val="single" w:sz="8" w:color="CCEEFF"/>
            </w:tcBorders>
            <w:gridSpan w:val="8"/>
            <w:shd w:val="clear" w:color="auto" w:fill="CCEEFF"/>
          </w:tcPr>
          <w:p>
            <w:pPr>
              <w:spacing w:after="0"/>
              <w:rPr>
                <w:sz w:val="18"/>
                <w:szCs w:val="18"/>
                <w:color w:val="auto"/>
              </w:rPr>
            </w:pP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9"/>
                <w:szCs w:val="19"/>
                <w:color w:val="auto"/>
              </w:rPr>
            </w:pPr>
          </w:p>
        </w:tc>
        <w:tc>
          <w:tcPr>
            <w:tcW w:w="10000" w:type="dxa"/>
            <w:vAlign w:val="bottom"/>
            <w:gridSpan w:val="12"/>
          </w:tcPr>
          <w:p>
            <w:pPr>
              <w:spacing w:after="0"/>
              <w:rPr>
                <w:sz w:val="20"/>
                <w:szCs w:val="20"/>
                <w:color w:val="auto"/>
              </w:rPr>
            </w:pPr>
            <w:r>
              <w:rPr>
                <w:rFonts w:ascii="Arial" w:cs="Arial" w:eastAsia="Arial" w:hAnsi="Arial"/>
                <w:sz w:val="17"/>
                <w:szCs w:val="17"/>
                <w:color w:val="auto"/>
              </w:rPr>
              <w:t>XBRL Instance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10000" w:type="dxa"/>
            <w:vAlign w:val="bottom"/>
            <w:gridSpan w:val="12"/>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10000" w:type="dxa"/>
            <w:vAlign w:val="bottom"/>
            <w:gridSpan w:val="12"/>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2"/>
        </w:trPr>
        <w:tc>
          <w:tcPr>
            <w:tcW w:w="11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12"/>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1260" w:hanging="1238"/>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7" w:lineRule="exact"/>
        <w:rPr>
          <w:sz w:val="20"/>
          <w:szCs w:val="20"/>
          <w:color w:val="auto"/>
        </w:rPr>
      </w:pPr>
    </w:p>
    <w:p>
      <w:pPr>
        <w:ind w:left="1260" w:hanging="1238"/>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AVIAT NETWORKS, INC.</w:t>
      </w:r>
    </w:p>
    <w:p>
      <w:pPr>
        <w:ind w:left="6220"/>
        <w:spacing w:after="0"/>
        <w:rPr>
          <w:sz w:val="20"/>
          <w:szCs w:val="20"/>
          <w:color w:val="auto"/>
        </w:rPr>
      </w:pPr>
      <w:r>
        <w:rPr>
          <w:rFonts w:ascii="Arial" w:cs="Arial" w:eastAsia="Arial" w:hAnsi="Arial"/>
          <w:sz w:val="17"/>
          <w:szCs w:val="17"/>
          <w:color w:val="auto"/>
        </w:rPr>
        <w:t>(Registrant)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3, 2021</w:t>
      </w:r>
    </w:p>
    <w:p>
      <w:pPr>
        <w:spacing w:after="0" w:line="314"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7"/>
          <w:szCs w:val="17"/>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33020</wp:posOffset>
            </wp:positionV>
            <wp:extent cx="3161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161665" cy="8255"/>
                    </a:xfrm>
                    <a:prstGeom prst="rect">
                      <a:avLst/>
                    </a:prstGeom>
                    <a:noFill/>
                  </pic:spPr>
                </pic:pic>
              </a:graphicData>
            </a:graphic>
          </wp:anchor>
        </w:drawing>
      </w:r>
    </w:p>
    <w:p>
      <w:pPr>
        <w:spacing w:after="0" w:line="13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David M. Gray</w:t>
      </w:r>
    </w:p>
    <w:p>
      <w:pPr>
        <w:ind w:left="6280"/>
        <w:spacing w:after="0" w:line="208" w:lineRule="auto"/>
        <w:rPr>
          <w:sz w:val="20"/>
          <w:szCs w:val="20"/>
          <w:color w:val="auto"/>
        </w:rPr>
      </w:pPr>
      <w:r>
        <w:rPr>
          <w:rFonts w:ascii="Arial" w:cs="Arial" w:eastAsia="Arial" w:hAnsi="Arial"/>
          <w:sz w:val="17"/>
          <w:szCs w:val="17"/>
          <w:color w:val="auto"/>
        </w:rPr>
        <w:t>Senior Vice President and Chief Financial Officer (duly authorized</w:t>
      </w:r>
    </w:p>
    <w:p>
      <w:pPr>
        <w:ind w:left="628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29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October 1,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Date: November 3, 2021</w:t>
            </w:r>
          </w:p>
        </w:tc>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Name:</w:t>
            </w:r>
          </w:p>
        </w:tc>
        <w:tc>
          <w:tcPr>
            <w:tcW w:w="3960" w:type="dxa"/>
            <w:vAlign w:val="bottom"/>
          </w:tcPr>
          <w:p>
            <w:pPr>
              <w:ind w:left="300"/>
              <w:spacing w:after="0"/>
              <w:rPr>
                <w:sz w:val="20"/>
                <w:szCs w:val="20"/>
                <w:color w:val="auto"/>
              </w:rPr>
            </w:pPr>
            <w:r>
              <w:rPr>
                <w:rFonts w:ascii="Arial" w:cs="Arial" w:eastAsia="Arial" w:hAnsi="Arial"/>
                <w:sz w:val="17"/>
                <w:szCs w:val="17"/>
                <w:color w:val="auto"/>
              </w:rPr>
              <w:t>Peter A. Smith</w:t>
            </w:r>
          </w:p>
        </w:tc>
      </w:tr>
      <w:tr>
        <w:trPr>
          <w:trHeight w:val="222"/>
        </w:trPr>
        <w:tc>
          <w:tcPr>
            <w:tcW w:w="63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Title:</w:t>
            </w:r>
          </w:p>
        </w:tc>
        <w:tc>
          <w:tcPr>
            <w:tcW w:w="3960" w:type="dxa"/>
            <w:vAlign w:val="bottom"/>
          </w:tcPr>
          <w:p>
            <w:pPr>
              <w:ind w:left="30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October 1,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5500" w:type="dxa"/>
            <w:vAlign w:val="bottom"/>
          </w:tcPr>
          <w:p>
            <w:pPr>
              <w:spacing w:after="0"/>
              <w:rPr>
                <w:sz w:val="20"/>
                <w:szCs w:val="20"/>
                <w:color w:val="auto"/>
              </w:rPr>
            </w:pPr>
            <w:r>
              <w:rPr>
                <w:rFonts w:ascii="Arial" w:cs="Arial" w:eastAsia="Arial" w:hAnsi="Arial"/>
                <w:sz w:val="17"/>
                <w:szCs w:val="17"/>
                <w:color w:val="auto"/>
              </w:rPr>
              <w:t>Date: November 3, 2021</w:t>
            </w: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David M. Gray</w:t>
            </w:r>
          </w:p>
        </w:tc>
      </w:tr>
      <w:tr>
        <w:trPr>
          <w:trHeight w:val="215"/>
        </w:trPr>
        <w:tc>
          <w:tcPr>
            <w:tcW w:w="55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Name:</w:t>
            </w:r>
          </w:p>
        </w:tc>
        <w:tc>
          <w:tcPr>
            <w:tcW w:w="4860" w:type="dxa"/>
            <w:vAlign w:val="bottom"/>
          </w:tcPr>
          <w:p>
            <w:pPr>
              <w:ind w:left="200"/>
              <w:spacing w:after="0"/>
              <w:rPr>
                <w:sz w:val="20"/>
                <w:szCs w:val="20"/>
                <w:color w:val="auto"/>
              </w:rPr>
            </w:pPr>
            <w:r>
              <w:rPr>
                <w:rFonts w:ascii="Arial" w:cs="Arial" w:eastAsia="Arial" w:hAnsi="Arial"/>
                <w:sz w:val="17"/>
                <w:szCs w:val="17"/>
                <w:color w:val="auto"/>
              </w:rPr>
              <w:t>David M. Gray</w:t>
            </w:r>
          </w:p>
        </w:tc>
      </w:tr>
      <w:tr>
        <w:trPr>
          <w:trHeight w:val="222"/>
        </w:trPr>
        <w:tc>
          <w:tcPr>
            <w:tcW w:w="5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860" w:type="dxa"/>
            <w:vAlign w:val="bottom"/>
          </w:tcPr>
          <w:p>
            <w:pPr>
              <w:ind w:left="200"/>
              <w:spacing w:after="0"/>
              <w:rPr>
                <w:sz w:val="20"/>
                <w:szCs w:val="20"/>
                <w:color w:val="auto"/>
              </w:rPr>
            </w:pPr>
            <w:r>
              <w:rPr>
                <w:rFonts w:ascii="Arial" w:cs="Arial" w:eastAsia="Arial" w:hAnsi="Arial"/>
                <w:sz w:val="17"/>
                <w:szCs w:val="17"/>
                <w:color w:val="auto"/>
              </w:rPr>
              <w:t>Senior Vice President and Chief Financial Officer</w:t>
            </w:r>
          </w:p>
        </w:tc>
      </w:tr>
    </w:tbl>
    <w:p>
      <w:pPr>
        <w:sectPr>
          <w:pgSz w:w="11900" w:h="16838" w:orient="portrait"/>
          <w:cols w:equalWidth="0" w:num="1">
            <w:col w:w="11240"/>
          </w:cols>
          <w:pgMar w:left="320" w:top="86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32.1</w:t>
      </w:r>
    </w:p>
    <w:p>
      <w:pPr>
        <w:spacing w:after="0" w:line="301" w:lineRule="exact"/>
        <w:rPr>
          <w:sz w:val="20"/>
          <w:szCs w:val="20"/>
          <w:color w:val="auto"/>
        </w:rPr>
      </w:pPr>
    </w:p>
    <w:p>
      <w:pPr>
        <w:jc w:val="center"/>
        <w:spacing w:after="0" w:line="333" w:lineRule="auto"/>
        <w:rPr>
          <w:sz w:val="20"/>
          <w:szCs w:val="20"/>
          <w:color w:val="auto"/>
        </w:rPr>
      </w:pPr>
      <w:r>
        <w:rPr>
          <w:rFonts w:ascii="Arial" w:cs="Arial" w:eastAsia="Arial" w:hAnsi="Arial"/>
          <w:sz w:val="17"/>
          <w:szCs w:val="17"/>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filing of the Quarterly Report on Form 10-Q of Aviat Networks, Inc. (“Aviat Networks”) for the fiscal quarter ended October 1, 2021,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6"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8" w:lineRule="exact"/>
        <w:rPr>
          <w:rFonts w:ascii="Arial" w:cs="Arial" w:eastAsia="Arial" w:hAnsi="Arial"/>
          <w:sz w:val="16"/>
          <w:szCs w:val="16"/>
          <w:color w:val="auto"/>
        </w:rPr>
      </w:pPr>
    </w:p>
    <w:p>
      <w:pPr>
        <w:ind w:left="640" w:hanging="322"/>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76"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17"/>
                <w:szCs w:val="17"/>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November 3, 2021</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A. Smith</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Peter A. Smith</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419"/>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24"/>
                <w:szCs w:val="24"/>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November 3, 2021</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M. Gray</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David M. Gray</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8" Type="http://schemas.openxmlformats.org/officeDocument/2006/relationships/hyperlink" Target="http://www.sec.gov/Archives/edgar/data/1377789/000137778917000022/avnwexhibit31amendedandres.htm" TargetMode="External"/><Relationship Id="rId49" Type="http://schemas.openxmlformats.org/officeDocument/2006/relationships/hyperlink" Target="http://www.sec.gov/Archives/edgar/data/1377789/000137778920000079/bylawupdate92320.htm" TargetMode="External"/><Relationship Id="rId50" Type="http://schemas.openxmlformats.org/officeDocument/2006/relationships/hyperlink" Target="http://www.sec.gov/Archives/edgar/data/1377789/000137778921000075/offerletter-davidgrayfinal.htm" TargetMode="External"/><Relationship Id="rId51" Type="http://schemas.openxmlformats.org/officeDocument/2006/relationships/hyperlink" Target="http://www.sec.gov/Archives/edgar/data/0001377789/000137778921000041/amendment2tosmithemp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2021-11-03T15:26:05Z</dcterms:created>
  <dcterms:modified xsi:type="dcterms:W3CDTF">2021-11-03T15:26:05Z</dcterms:modified>
</cp:coreProperties>
</file>