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2" w:lineRule="exact"/>
        <w:rPr>
          <w:sz w:val="24"/>
          <w:szCs w:val="24"/>
          <w:color w:val="auto"/>
        </w:rPr>
      </w:pPr>
    </w:p>
    <w:p>
      <w:pPr>
        <w:ind w:left="4572"/>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42"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48" w:lineRule="exact"/>
        <w:rPr>
          <w:sz w:val="24"/>
          <w:szCs w:val="24"/>
          <w:color w:val="auto"/>
        </w:rPr>
      </w:pPr>
    </w:p>
    <w:p>
      <w:pPr>
        <w:ind w:left="4592"/>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117"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0"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69"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2026</w:t>
      </w:r>
    </w:p>
    <w:p>
      <w:pPr>
        <w:spacing w:after="0" w:line="53" w:lineRule="exact"/>
        <w:rPr>
          <w:sz w:val="24"/>
          <w:szCs w:val="24"/>
          <w:color w:val="auto"/>
        </w:rPr>
      </w:pPr>
    </w:p>
    <w:p>
      <w:pPr>
        <w:ind w:left="4572"/>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65"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32"/>
          <w:szCs w:val="32"/>
          <w:b w:val="1"/>
          <w:bCs w:val="1"/>
          <w:color w:val="auto"/>
        </w:rPr>
        <w:t>AVIAT NETWORKS, INC.</w:t>
      </w:r>
    </w:p>
    <w:p>
      <w:pPr>
        <w:spacing w:after="0" w:line="89" w:lineRule="exact"/>
        <w:rPr>
          <w:sz w:val="24"/>
          <w:szCs w:val="24"/>
          <w:color w:val="auto"/>
        </w:rPr>
      </w:pPr>
    </w:p>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0" w:lineRule="exact"/>
        <w:rPr>
          <w:sz w:val="24"/>
          <w:szCs w:val="24"/>
          <w:color w:val="auto"/>
        </w:rPr>
      </w:pPr>
    </w:p>
    <w:p>
      <w:pPr>
        <w:ind w:left="4592"/>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ectPr>
          <w:pgSz w:w="11900" w:h="16838" w:orient="portrait"/>
          <w:cols w:equalWidth="0" w:num="1">
            <w:col w:w="10932"/>
          </w:cols>
          <w:pgMar w:left="328" w:top="1168" w:right="639" w:bottom="1440" w:gutter="0" w:footer="0" w:header="0"/>
        </w:sectPr>
      </w:pPr>
    </w:p>
    <w:p>
      <w:pPr>
        <w:spacing w:after="0" w:line="164" w:lineRule="exact"/>
        <w:rPr>
          <w:sz w:val="24"/>
          <w:szCs w:val="24"/>
          <w:color w:val="auto"/>
        </w:rPr>
      </w:pPr>
    </w:p>
    <w:p>
      <w:pPr>
        <w:ind w:left="2072"/>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001-33278</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74" w:lineRule="exact"/>
        <w:rPr>
          <w:sz w:val="24"/>
          <w:szCs w:val="24"/>
          <w:color w:val="auto"/>
        </w:rPr>
      </w:pPr>
    </w:p>
    <w:p>
      <w:pPr>
        <w:sectPr>
          <w:pgSz w:w="11900" w:h="16838" w:orient="portrait"/>
          <w:cols w:equalWidth="0" w:num="3">
            <w:col w:w="4372" w:space="720"/>
            <w:col w:w="2440" w:space="720"/>
            <w:col w:w="2680"/>
          </w:cols>
          <w:pgMar w:left="328" w:top="1168" w:right="639" w:bottom="1440" w:gutter="0" w:footer="0" w:header="0"/>
          <w:type w:val="continuous"/>
        </w:sectPr>
      </w:pPr>
    </w:p>
    <w:p>
      <w:pPr>
        <w:jc w:val="center"/>
        <w:ind w:left="612"/>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69" w:lineRule="exact"/>
        <w:rPr>
          <w:sz w:val="24"/>
          <w:szCs w:val="24"/>
          <w:color w:val="auto"/>
        </w:rPr>
      </w:pPr>
    </w:p>
    <w:p>
      <w:pPr>
        <w:sectPr>
          <w:pgSz w:w="11900" w:h="16838" w:orient="portrait"/>
          <w:cols w:equalWidth="0" w:num="3">
            <w:col w:w="4252" w:space="720"/>
            <w:col w:w="2500" w:space="720"/>
            <w:col w:w="2740"/>
          </w:cols>
          <w:pgMar w:left="328" w:top="1168" w:right="639" w:bottom="1440" w:gutter="0" w:footer="0" w:header="0"/>
          <w:type w:val="continuous"/>
        </w:sectPr>
      </w:pPr>
    </w:p>
    <w:p>
      <w:pPr>
        <w:ind w:left="1932"/>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3">
            <w:col w:w="4512" w:space="720"/>
            <w:col w:w="2200" w:space="720"/>
            <w:col w:w="2780"/>
          </w:cols>
          <w:pgMar w:left="328" w:top="1168" w:right="639" w:bottom="1440" w:gutter="0" w:footer="0" w:header="0"/>
          <w:type w:val="continuous"/>
        </w:sectPr>
      </w:pPr>
    </w:p>
    <w:p>
      <w:pPr>
        <w:spacing w:after="0" w:line="287" w:lineRule="exact"/>
        <w:rPr>
          <w:sz w:val="24"/>
          <w:szCs w:val="24"/>
          <w:color w:val="auto"/>
        </w:rPr>
      </w:pPr>
    </w:p>
    <w:p>
      <w:pPr>
        <w:jc w:val="center"/>
        <w:ind w:right="-291"/>
        <w:spacing w:after="0"/>
        <w:rPr>
          <w:sz w:val="20"/>
          <w:szCs w:val="20"/>
          <w:color w:val="auto"/>
        </w:rPr>
      </w:pPr>
      <w:r>
        <w:rPr>
          <w:rFonts w:ascii="Times New Roman" w:cs="Times New Roman" w:eastAsia="Times New Roman" w:hAnsi="Times New Roman"/>
          <w:sz w:val="17"/>
          <w:szCs w:val="17"/>
          <w:b w:val="1"/>
          <w:bCs w:val="1"/>
          <w:color w:val="auto"/>
        </w:rPr>
        <w:t>200 Parker Dr., Suite C100A, Austin, Texas 78728</w:t>
      </w:r>
    </w:p>
    <w:p>
      <w:pPr>
        <w:spacing w:after="0" w:line="331" w:lineRule="exact"/>
        <w:rPr>
          <w:sz w:val="24"/>
          <w:szCs w:val="24"/>
          <w:color w:val="auto"/>
        </w:rPr>
      </w:pPr>
    </w:p>
    <w:p>
      <w:pPr>
        <w:jc w:val="center"/>
        <w:ind w:right="-291"/>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ectPr>
          <w:pgSz w:w="11900" w:h="16838" w:orient="portrait"/>
          <w:cols w:equalWidth="0" w:num="1">
            <w:col w:w="10932"/>
          </w:cols>
          <w:pgMar w:left="328" w:top="1168" w:right="639" w:bottom="1440" w:gutter="0" w:footer="0" w:header="0"/>
          <w:type w:val="continuous"/>
        </w:sectPr>
      </w:pPr>
    </w:p>
    <w:p>
      <w:pPr>
        <w:spacing w:after="0" w:line="264"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(408)-941-7100</w:t>
      </w:r>
    </w:p>
    <w:p>
      <w:pPr>
        <w:spacing w:after="0" w:line="268"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23" w:lineRule="exact"/>
        <w:rPr>
          <w:sz w:val="24"/>
          <w:szCs w:val="24"/>
          <w:color w:val="auto"/>
        </w:rPr>
      </w:pPr>
    </w:p>
    <w:p>
      <w:pPr>
        <w:ind w:left="4632"/>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108" w:lineRule="exact"/>
        <w:rPr>
          <w:sz w:val="24"/>
          <w:szCs w:val="24"/>
          <w:color w:val="auto"/>
        </w:rPr>
      </w:pPr>
    </w:p>
    <w:p>
      <w:pPr>
        <w:ind w:left="32" w:right="3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52" w:hanging="212"/>
        <w:spacing w:after="0"/>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52" w:hanging="212"/>
        <w:spacing w:after="0"/>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52" w:hanging="212"/>
        <w:spacing w:after="0"/>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2" w:right="2640" w:firstLine="8"/>
        <w:spacing w:after="0" w:line="383" w:lineRule="auto"/>
        <w:tabs>
          <w:tab w:leader="none" w:pos="2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52" w:type="dxa"/>
        <w:tblCellMar>
          <w:top w:w="0" w:type="dxa"/>
          <w:left w:w="0" w:type="dxa"/>
          <w:bottom w:w="0" w:type="dxa"/>
          <w:right w:w="0" w:type="dxa"/>
        </w:tblCellMar>
      </w:tblPr>
      <w:tr>
        <w:trPr>
          <w:trHeight w:val="234"/>
        </w:trPr>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69"/>
        </w:trPr>
        <w:tc>
          <w:tcPr>
            <w:tcW w:w="30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par value $0.01 per</w:t>
            </w:r>
          </w:p>
        </w:tc>
        <w:tc>
          <w:tcPr>
            <w:tcW w:w="340" w:type="dxa"/>
            <w:vAlign w:val="bottom"/>
          </w:tcPr>
          <w:p>
            <w:pPr>
              <w:spacing w:after="0"/>
              <w:rPr>
                <w:sz w:val="14"/>
                <w:szCs w:val="14"/>
                <w:color w:val="auto"/>
              </w:rPr>
            </w:pPr>
          </w:p>
        </w:tc>
        <w:tc>
          <w:tcPr>
            <w:tcW w:w="23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AVNW</w:t>
            </w:r>
          </w:p>
        </w:tc>
        <w:tc>
          <w:tcPr>
            <w:tcW w:w="340" w:type="dxa"/>
            <w:vAlign w:val="bottom"/>
          </w:tcPr>
          <w:p>
            <w:pPr>
              <w:spacing w:after="0"/>
              <w:rPr>
                <w:sz w:val="14"/>
                <w:szCs w:val="14"/>
                <w:color w:val="auto"/>
              </w:rPr>
            </w:pPr>
          </w:p>
        </w:tc>
        <w:tc>
          <w:tcPr>
            <w:tcW w:w="3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NASDAQ Stock Market LLC</w:t>
            </w:r>
          </w:p>
        </w:tc>
      </w:tr>
      <w:tr>
        <w:trPr>
          <w:trHeight w:val="234"/>
        </w:trPr>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share</w:t>
            </w: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8"/>
        </w:trPr>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306" w:lineRule="exact"/>
        <w:rPr>
          <w:sz w:val="24"/>
          <w:szCs w:val="24"/>
          <w:color w:val="auto"/>
        </w:rPr>
      </w:pPr>
    </w:p>
    <w:p>
      <w:pPr>
        <w:ind w:left="-8" w:firstLine="8"/>
        <w:spacing w:after="0" w:line="281" w:lineRule="auto"/>
        <w:tabs>
          <w:tab w:leader="none" w:pos="1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w:t>
      </w:r>
    </w:p>
    <w:p>
      <w:pPr>
        <w:spacing w:after="0" w:line="41" w:lineRule="exact"/>
        <w:rPr>
          <w:rFonts w:ascii="MS PGothic" w:cs="MS PGothic" w:eastAsia="MS PGothic" w:hAnsi="MS PGothic"/>
          <w:sz w:val="18"/>
          <w:szCs w:val="18"/>
          <w:color w:val="auto"/>
        </w:rPr>
      </w:pPr>
    </w:p>
    <w:p>
      <w:pPr>
        <w:ind w:left="-8" w:firstLine="8"/>
        <w:spacing w:after="0" w:line="282" w:lineRule="auto"/>
        <w:tabs>
          <w:tab w:leader="none" w:pos="1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1430020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662940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628650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932"/>
          </w:cols>
          <w:pgMar w:left="328" w:top="116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27, 2026, Aviat Networks, Inc. (the “Company”) and Computershare Inc., as rights agent, entered into Amendment No. 2 to the Amended and Restated Tax Benefit Preservation Plan (the “Amendment”), which amended the Amended and Restated Tax Benefit Preservation Plan (the “Plan”), dated as of August 27, 2020 and amended on February 28,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which the Company expects to submit to the Company’s stockholders for ratification at the Company’s 2026 annual meeting (the “Annual Meeting”), extends the final expiration date of the Plan until March 3, 2029. If stockholder approval of the Amendment is not obtained at such meeting, the Company anticipates terminating the Plan at the close of business on the date that the voting results are certified.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the Company previously adopted the Plan in an effort to protect the Company’s ability to use its net operating losses, any loss or deductions attributable to a “net unrealized built-in loss” and other tax attributes (collectively, the “Tax Benefits”). The Board continues to view the Tax Benefits as highly valuable assets of the Company that are likely to inure to the benefit of the Company and its stockholders. Accordingly, the Board believes that it is in the best interest of the Company and its stockholders that the Company provide for the protection of the Tax Benefits by amending the Plan to extend the final expiration date.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Plan does not purport to be complete and is qualified in its entirety by reference to the full text of the Amendment, a copy of which is attached hereto as Exhibit 4.1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3.03.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8"/>
                <w:szCs w:val="18"/>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Amendment No. 2 to the Amended and Restated Tax Benefit Preservation Plan, dated as of February 27,</w:t>
            </w: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52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2026, by and between Aviat Networks, Inc. and Computershare Inc., as Rights Agent</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2"/>
                <w:szCs w:val="22"/>
                <w:color w:val="auto"/>
              </w:rPr>
            </w:pPr>
          </w:p>
        </w:tc>
        <w:tc>
          <w:tcPr>
            <w:tcW w:w="61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left="160"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6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AVIAT NETWORKS, INC.</w:t>
            </w:r>
          </w:p>
        </w:tc>
      </w:tr>
      <w:tr>
        <w:trPr>
          <w:trHeight w:val="54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17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Andrew C. Schmidt</w:t>
            </w:r>
          </w:p>
        </w:tc>
      </w:tr>
      <w:tr>
        <w:trPr>
          <w:trHeight w:val="40"/>
        </w:trPr>
        <w:tc>
          <w:tcPr>
            <w:tcW w:w="2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228"/>
        </w:trPr>
        <w:tc>
          <w:tcPr>
            <w:tcW w:w="2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Andrew C. Schmidt</w:t>
            </w:r>
          </w:p>
        </w:tc>
      </w:tr>
      <w:tr>
        <w:trPr>
          <w:trHeight w:val="306"/>
        </w:trPr>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9300"/>
          </w:cols>
          <w:pgMar w:left="1440" w:top="914" w:right="11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 AMENDED AND RESTATED TAX BENEFIT PRESERVATION PLAN</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AMENDMENT NO. 2 TO THE AMENDED AND RESTATED TAX BENEFIT PRESERVATION PLAN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February 27, 2026, is by and between Aviat Networks,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Computershare Inc., a Delaware corporation, as rights agent (the “</w:t>
      </w:r>
      <w:r>
        <w:rPr>
          <w:rFonts w:ascii="Times New Roman" w:cs="Times New Roman" w:eastAsia="Times New Roman" w:hAnsi="Times New Roman"/>
          <w:sz w:val="22"/>
          <w:szCs w:val="22"/>
          <w:u w:val="single" w:color="auto"/>
          <w:color w:val="auto"/>
        </w:rPr>
        <w:t>Rights Agent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on August 27, 2020, the Company and the Rights Agent entered into that certain Amended and Restated Tax Benefit Preservation Plan, which the Company and the Rights Agent then amended on February 28, 2023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pursuant to Section 28 (Supplements and Amendments) of the Plan, the Company desires to amend the Plan to extend the Final Expiration Date; and</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WHEREAS, pursuant to Section 28 of the Plan, the Company hereby delivers a certificate from its Senior Vice President and Chief Financial Officer,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stating that this Amendment is in compliance with the terms of Section 28 of the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herein set forth, the parties hereto agree as follows:</w:t>
      </w:r>
    </w:p>
    <w:p>
      <w:pPr>
        <w:spacing w:after="0" w:line="154" w:lineRule="exact"/>
        <w:rPr>
          <w:sz w:val="20"/>
          <w:szCs w:val="20"/>
          <w:color w:val="auto"/>
        </w:rPr>
      </w:pPr>
    </w:p>
    <w:p>
      <w:pPr>
        <w:ind w:left="660" w:hanging="652"/>
        <w:spacing w:after="0" w:line="275" w:lineRule="auto"/>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and not defined in this Amendment have the respective meanings assigned to them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4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 (defined below), the Plan is hereby amended as follows:</w:t>
      </w:r>
    </w:p>
    <w:p>
      <w:pPr>
        <w:spacing w:after="0" w:line="237"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1(aa) of the Plan is hereby deleted in its entirety and replaced with the following:</w:t>
      </w:r>
    </w:p>
    <w:p>
      <w:pPr>
        <w:spacing w:after="0" w:line="21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“(aa)</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Final Expiration Date</w:t>
      </w:r>
      <w:r>
        <w:rPr>
          <w:rFonts w:ascii="Times New Roman" w:cs="Times New Roman" w:eastAsia="Times New Roman" w:hAnsi="Times New Roman"/>
          <w:sz w:val="21"/>
          <w:szCs w:val="21"/>
          <w:color w:val="auto"/>
        </w:rPr>
        <w:t>” means March 3, 2029.”</w:t>
      </w:r>
    </w:p>
    <w:p>
      <w:pPr>
        <w:spacing w:after="0" w:line="224"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B to the Plan is hereby amended by deleting the first sentence in the Legend and replacing it with the following:</w:t>
      </w:r>
    </w:p>
    <w:p>
      <w:pPr>
        <w:spacing w:after="0" w:line="220" w:lineRule="exact"/>
        <w:rPr>
          <w:sz w:val="20"/>
          <w:szCs w:val="20"/>
          <w:color w:val="auto"/>
        </w:rPr>
      </w:pPr>
    </w:p>
    <w:p>
      <w:pPr>
        <w:jc w:val="both"/>
        <w:ind w:left="1300" w:right="1300"/>
        <w:spacing w:after="0" w:line="263" w:lineRule="auto"/>
        <w:rPr>
          <w:sz w:val="20"/>
          <w:szCs w:val="20"/>
          <w:color w:val="auto"/>
        </w:rPr>
      </w:pPr>
      <w:r>
        <w:rPr>
          <w:rFonts w:ascii="Times New Roman" w:cs="Times New Roman" w:eastAsia="Times New Roman" w:hAnsi="Times New Roman"/>
          <w:sz w:val="22"/>
          <w:szCs w:val="22"/>
          <w:color w:val="auto"/>
        </w:rPr>
        <w:t>“NOT EXERCISABLE AFTER THE FINAL EXPIRATION DATE (AS DEFINED IN THE PLAN (AS DEFINED BELOW)) OR SUCH EARLIER DATE AS THE RIGHTS ARE REDEEMED, EXCHANGED OR TERMINATED.”</w:t>
      </w:r>
    </w:p>
    <w:p>
      <w:pPr>
        <w:spacing w:after="0" w:line="163" w:lineRule="exact"/>
        <w:rPr>
          <w:sz w:val="20"/>
          <w:szCs w:val="20"/>
          <w:color w:val="auto"/>
        </w:rPr>
      </w:pPr>
    </w:p>
    <w:p>
      <w:pPr>
        <w:ind w:left="660" w:right="20" w:hanging="652"/>
        <w:spacing w:after="0" w:line="275" w:lineRule="auto"/>
        <w:tabs>
          <w:tab w:leader="none" w:pos="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Ratification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will be deemed effective as of the date first written above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Except as expressly provided in this Amendment, all terms and provisions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1240"/>
          </w:cols>
          <w:pgMar w:left="320" w:top="1418" w:right="339" w:bottom="1440" w:gutter="0" w:footer="0" w:header="0"/>
        </w:sectPr>
      </w:pPr>
    </w:p>
    <w:bookmarkStart w:id="4" w:name="page5"/>
    <w:bookmarkEnd w:id="4"/>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Plan are and will remain in full force and effect and are hereby ratified and confirmed by the parties hereto. Without limiting the generality of the foregoing, the amendments contained herein will not be construed as an amendment to or a waiver of any other provision of the Plan or as a waiver of or consent to any further or future action on the part of either party hereto that would require the waiver or consent of the other party. On and after the Effective Date, each reference in the Plan to “this Plan”, “the Plan”, “hereunder”, “hereof”, “herein”, or words of like import will mean and be a reference to the Plan as amended by this Amendment.</w:t>
      </w:r>
    </w:p>
    <w:p>
      <w:pPr>
        <w:spacing w:after="0" w:line="177" w:lineRule="exact"/>
        <w:rPr>
          <w:sz w:val="20"/>
          <w:szCs w:val="20"/>
          <w:color w:val="auto"/>
        </w:rPr>
      </w:pPr>
    </w:p>
    <w:p>
      <w:pPr>
        <w:jc w:val="both"/>
        <w:ind w:left="660" w:hanging="652"/>
        <w:spacing w:after="0" w:line="250" w:lineRule="auto"/>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and any supplements or further amendments hereto may be executed in any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and each of such counterparts will for all purposes be deemed to be an original, and all such counterparts will together constitute one and the same instrument, it being understood that all parties need not sign the same counterpart. A signature to this Amendment executed and/or transmitted electronically (including by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1240"/>
          </w:cols>
          <w:pgMar w:left="320" w:top="1422" w:right="339" w:bottom="1440" w:gutter="0" w:footer="0" w:header="0"/>
        </w:sectPr>
      </w:pPr>
    </w:p>
    <w:bookmarkStart w:id="5" w:name="page6"/>
    <w:bookmarkEnd w:id="5"/>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as of the Effective Date.</w:t>
      </w:r>
    </w:p>
    <w:p>
      <w:pPr>
        <w:spacing w:after="0" w:line="200" w:lineRule="exact"/>
        <w:rPr>
          <w:sz w:val="20"/>
          <w:szCs w:val="20"/>
          <w:color w:val="auto"/>
        </w:rPr>
      </w:pPr>
    </w:p>
    <w:p>
      <w:pPr>
        <w:spacing w:after="0" w:line="32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Andy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Andy Schmidt</w:t>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Senior Vice President &amp; Chief Financial Officer</w:t>
      </w:r>
    </w:p>
    <w:p>
      <w:pPr>
        <w:spacing w:after="0" w:line="36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RIGHTS AGENT</w:t>
      </w:r>
    </w:p>
    <w:p>
      <w:pPr>
        <w:spacing w:after="0" w:line="3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Computershare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066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308" w:lineRule="exact"/>
        <w:rPr>
          <w:sz w:val="20"/>
          <w:szCs w:val="20"/>
          <w:color w:val="auto"/>
        </w:rPr>
      </w:pPr>
    </w:p>
    <w:p>
      <w:pPr>
        <w:ind w:left="5900"/>
        <w:spacing w:after="0"/>
        <w:tabs>
          <w:tab w:leader="none" w:pos="66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-13970</wp:posOffset>
            </wp:positionV>
            <wp:extent cx="902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321" w:lineRule="exact"/>
        <w:rPr>
          <w:sz w:val="20"/>
          <w:szCs w:val="20"/>
          <w:color w:val="auto"/>
        </w:rPr>
      </w:pPr>
    </w:p>
    <w:p>
      <w:pPr>
        <w:ind w:left="5900"/>
        <w:spacing w:after="0"/>
        <w:tabs>
          <w:tab w:leader="none" w:pos="6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 Client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-13970</wp:posOffset>
            </wp:positionV>
            <wp:extent cx="1772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Signature Page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0380"/>
          </w:cols>
          <w:pgMar w:left="320" w:top="1440" w:right="11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Company</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undersigned, Andy Schmidt, hereby certifies he is the duly elected, qualified and acting Senior Vice President &amp; Chief Financial Officer of Aviat Networks, Inc. (the “Company”), and that as such, he is duly authorized to execute and deliver this Certificate on behalf of the Company.</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He hereby further certifies on behalf of the Company that the foregoing Amendment No. 2 to the Amended and Restated Tax Benefit Preservation Plan is in compliance with the terms of Section 28 of the Amended and Restated Tax Benefit Preservation Plan, dated as of August 27, 2020, by and between the Company and Computershare Inc., as rights agent, as may be amended from time to time.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executed this Certificate on behalf of the Company as of this 27 day of February, 2026.</w:t>
      </w:r>
    </w:p>
    <w:p>
      <w:pPr>
        <w:spacing w:after="0" w:line="200" w:lineRule="exact"/>
        <w:rPr>
          <w:sz w:val="20"/>
          <w:szCs w:val="20"/>
          <w:color w:val="auto"/>
        </w:rPr>
      </w:pP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Andy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097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Andy Schmidt</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undersigned hereby certifies that the person named above is the duly elected, qualified and acting Senior Vice President &amp; Chief Financial Officer of the Company, and that the signature appearing above is his true and valid signature.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executed this Certificate on behalf of the Company as of this 27 day of February, 2026.</w:t>
      </w:r>
    </w:p>
    <w:p>
      <w:pPr>
        <w:spacing w:after="0" w:line="200" w:lineRule="exact"/>
        <w:rPr>
          <w:sz w:val="20"/>
          <w:szCs w:val="20"/>
          <w:color w:val="auto"/>
        </w:rPr>
      </w:pP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Erin Boase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906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Erin Boase</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General Counsel, Vice President Legal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Exhibit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2026-02-27T15:15:25Z</dcterms:created>
  <dcterms:modified xsi:type="dcterms:W3CDTF">2026-02-27T15:15:25Z</dcterms:modified>
</cp:coreProperties>
</file>