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231140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7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107315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127000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60"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0" w:lineRule="exact"/>
        <w:rPr>
          <w:sz w:val="24"/>
          <w:szCs w:val="24"/>
          <w:color w:val="auto"/>
        </w:rPr>
      </w:pPr>
    </w:p>
    <w:p>
      <w:pPr>
        <w:ind w:left="460" w:right="460" w:hanging="452"/>
        <w:spacing w:after="0" w:line="237" w:lineRule="auto"/>
        <w:tabs>
          <w:tab w:leader="none" w:pos="46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1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December 31, 2010</w:t>
      </w:r>
    </w:p>
    <w:p>
      <w:pPr>
        <w:spacing w:after="0" w:line="14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145" w:lineRule="exact"/>
        <w:rPr>
          <w:sz w:val="24"/>
          <w:szCs w:val="24"/>
          <w:color w:val="auto"/>
        </w:rPr>
      </w:pPr>
    </w:p>
    <w:p>
      <w:pPr>
        <w:ind w:left="460" w:right="460" w:hanging="452"/>
        <w:spacing w:after="0" w:line="256" w:lineRule="auto"/>
        <w:tabs>
          <w:tab w:leader="none" w:pos="46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95" w:lineRule="exact"/>
        <w:rPr>
          <w:sz w:val="24"/>
          <w:szCs w:val="24"/>
          <w:color w:val="auto"/>
        </w:rPr>
      </w:pPr>
    </w:p>
    <w:p>
      <w:pPr>
        <w:ind w:left="3920"/>
        <w:spacing w:after="0"/>
        <w:tabs>
          <w:tab w:leader="none" w:pos="678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3954145</wp:posOffset>
            </wp:positionH>
            <wp:positionV relativeFrom="paragraph">
              <wp:posOffset>-10160</wp:posOffset>
            </wp:positionV>
            <wp:extent cx="81724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817245" cy="8890"/>
                    </a:xfrm>
                    <a:prstGeom prst="rect">
                      <a:avLst/>
                    </a:prstGeom>
                    <a:noFill/>
                  </pic:spPr>
                </pic:pic>
              </a:graphicData>
            </a:graphic>
          </wp:anchor>
        </w:drawing>
      </w:r>
    </w:p>
    <w:p>
      <w:pPr>
        <w:spacing w:after="0" w:line="12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001-33278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118110</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17"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AVIAT NETWORKS, INC.</w:t>
      </w:r>
    </w:p>
    <w:p>
      <w:pPr>
        <w:spacing w:after="0" w:line="5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113665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66" w:lineRule="exact"/>
        <w:rPr>
          <w:sz w:val="24"/>
          <w:szCs w:val="24"/>
          <w:color w:val="auto"/>
        </w:rPr>
      </w:pPr>
    </w:p>
    <w:tbl>
      <w:tblPr>
        <w:tblLayout w:type="fixed"/>
        <w:tblInd w:w="1700" w:type="dxa"/>
        <w:tblCellMar>
          <w:top w:w="0" w:type="dxa"/>
          <w:left w:w="0" w:type="dxa"/>
          <w:bottom w:w="0" w:type="dxa"/>
          <w:right w:w="0" w:type="dxa"/>
        </w:tblCellMar>
      </w:tblPr>
      <w:tr>
        <w:trPr>
          <w:trHeight w:val="218"/>
        </w:trPr>
        <w:tc>
          <w:tcPr>
            <w:tcW w:w="6420" w:type="dxa"/>
            <w:vAlign w:val="bottom"/>
          </w:tcPr>
          <w:p>
            <w:pPr>
              <w:jc w:val="center"/>
              <w:ind w:right="4002"/>
              <w:spacing w:after="0"/>
              <w:rPr>
                <w:sz w:val="20"/>
                <w:szCs w:val="20"/>
                <w:color w:val="auto"/>
              </w:rPr>
            </w:pPr>
            <w:r>
              <w:rPr>
                <w:rFonts w:ascii="Arial" w:cs="Arial" w:eastAsia="Arial" w:hAnsi="Arial"/>
                <w:sz w:val="18"/>
                <w:szCs w:val="18"/>
                <w:b w:val="1"/>
                <w:bCs w:val="1"/>
                <w:color w:val="auto"/>
                <w:w w:val="88"/>
              </w:rPr>
              <w:t>Delaware</w:t>
            </w:r>
          </w:p>
        </w:tc>
        <w:tc>
          <w:tcPr>
            <w:tcW w:w="1100" w:type="dxa"/>
            <w:vAlign w:val="bottom"/>
          </w:tcPr>
          <w:p>
            <w:pPr>
              <w:jc w:val="right"/>
              <w:ind w:right="44"/>
              <w:spacing w:after="0"/>
              <w:rPr>
                <w:sz w:val="20"/>
                <w:szCs w:val="20"/>
                <w:color w:val="auto"/>
              </w:rPr>
            </w:pPr>
            <w:r>
              <w:rPr>
                <w:rFonts w:ascii="Arial" w:cs="Arial" w:eastAsia="Arial" w:hAnsi="Arial"/>
                <w:sz w:val="18"/>
                <w:szCs w:val="18"/>
                <w:b w:val="1"/>
                <w:bCs w:val="1"/>
                <w:color w:val="auto"/>
                <w:w w:val="99"/>
              </w:rPr>
              <w:t>20-5961564</w:t>
            </w:r>
          </w:p>
        </w:tc>
      </w:tr>
      <w:tr>
        <w:trPr>
          <w:trHeight w:val="149"/>
        </w:trPr>
        <w:tc>
          <w:tcPr>
            <w:tcW w:w="6420" w:type="dxa"/>
            <w:vAlign w:val="bottom"/>
          </w:tcPr>
          <w:p>
            <w:pPr>
              <w:jc w:val="center"/>
              <w:ind w:right="4022"/>
              <w:spacing w:after="0" w:line="149" w:lineRule="exact"/>
              <w:rPr>
                <w:sz w:val="20"/>
                <w:szCs w:val="20"/>
                <w:color w:val="auto"/>
              </w:rPr>
            </w:pPr>
            <w:r>
              <w:rPr>
                <w:rFonts w:ascii="Arial" w:cs="Arial" w:eastAsia="Arial" w:hAnsi="Arial"/>
                <w:sz w:val="14"/>
                <w:szCs w:val="14"/>
                <w:b w:val="1"/>
                <w:bCs w:val="1"/>
                <w:color w:val="auto"/>
                <w:w w:val="87"/>
              </w:rPr>
              <w:t>(State or other jurisdiction of</w:t>
            </w:r>
          </w:p>
        </w:tc>
        <w:tc>
          <w:tcPr>
            <w:tcW w:w="11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(I.R.S. Employer</w:t>
            </w:r>
          </w:p>
        </w:tc>
      </w:tr>
      <w:tr>
        <w:trPr>
          <w:trHeight w:val="174"/>
        </w:trPr>
        <w:tc>
          <w:tcPr>
            <w:tcW w:w="6420" w:type="dxa"/>
            <w:vAlign w:val="bottom"/>
          </w:tcPr>
          <w:p>
            <w:pPr>
              <w:jc w:val="center"/>
              <w:ind w:right="4022"/>
              <w:spacing w:after="0"/>
              <w:rPr>
                <w:sz w:val="20"/>
                <w:szCs w:val="20"/>
                <w:color w:val="auto"/>
              </w:rPr>
            </w:pPr>
            <w:r>
              <w:rPr>
                <w:rFonts w:ascii="Arial" w:cs="Arial" w:eastAsia="Arial" w:hAnsi="Arial"/>
                <w:sz w:val="14"/>
                <w:szCs w:val="14"/>
                <w:b w:val="1"/>
                <w:bCs w:val="1"/>
                <w:color w:val="auto"/>
                <w:w w:val="88"/>
              </w:rPr>
              <w:t>incorporation or organization)</w:t>
            </w:r>
          </w:p>
        </w:tc>
        <w:tc>
          <w:tcPr>
            <w:tcW w:w="1100" w:type="dxa"/>
            <w:vAlign w:val="bottom"/>
          </w:tcPr>
          <w:p>
            <w:pPr>
              <w:jc w:val="center"/>
              <w:spacing w:after="0"/>
              <w:rPr>
                <w:sz w:val="20"/>
                <w:szCs w:val="20"/>
                <w:color w:val="auto"/>
              </w:rPr>
            </w:pPr>
            <w:r>
              <w:rPr>
                <w:rFonts w:ascii="Arial" w:cs="Arial" w:eastAsia="Arial" w:hAnsi="Arial"/>
                <w:sz w:val="14"/>
                <w:szCs w:val="14"/>
                <w:b w:val="1"/>
                <w:bCs w:val="1"/>
                <w:color w:val="auto"/>
                <w:w w:val="89"/>
              </w:rPr>
              <w:t>Identification No.)</w:t>
            </w:r>
          </w:p>
        </w:tc>
      </w:tr>
      <w:tr>
        <w:trPr>
          <w:trHeight w:val="418"/>
        </w:trPr>
        <w:tc>
          <w:tcPr>
            <w:tcW w:w="6420" w:type="dxa"/>
            <w:vAlign w:val="bottom"/>
          </w:tcPr>
          <w:p>
            <w:pPr>
              <w:jc w:val="center"/>
              <w:ind w:right="4002"/>
              <w:spacing w:after="0"/>
              <w:rPr>
                <w:sz w:val="20"/>
                <w:szCs w:val="20"/>
                <w:color w:val="auto"/>
              </w:rPr>
            </w:pPr>
            <w:r>
              <w:rPr>
                <w:rFonts w:ascii="Arial" w:cs="Arial" w:eastAsia="Arial" w:hAnsi="Arial"/>
                <w:sz w:val="18"/>
                <w:szCs w:val="18"/>
                <w:b w:val="1"/>
                <w:bCs w:val="1"/>
                <w:color w:val="auto"/>
                <w:w w:val="90"/>
              </w:rPr>
              <w:t>5200 Great American Parkway</w:t>
            </w:r>
          </w:p>
        </w:tc>
        <w:tc>
          <w:tcPr>
            <w:tcW w:w="1100" w:type="dxa"/>
            <w:vAlign w:val="bottom"/>
          </w:tcPr>
          <w:p>
            <w:pPr>
              <w:spacing w:after="0"/>
              <w:rPr>
                <w:sz w:val="24"/>
                <w:szCs w:val="24"/>
                <w:color w:val="auto"/>
              </w:rPr>
            </w:pPr>
          </w:p>
        </w:tc>
      </w:tr>
      <w:tr>
        <w:trPr>
          <w:trHeight w:val="231"/>
        </w:trPr>
        <w:tc>
          <w:tcPr>
            <w:tcW w:w="6420" w:type="dxa"/>
            <w:vAlign w:val="bottom"/>
          </w:tcPr>
          <w:p>
            <w:pPr>
              <w:jc w:val="center"/>
              <w:ind w:right="4022"/>
              <w:spacing w:after="0"/>
              <w:rPr>
                <w:sz w:val="20"/>
                <w:szCs w:val="20"/>
                <w:color w:val="auto"/>
              </w:rPr>
            </w:pPr>
            <w:r>
              <w:rPr>
                <w:rFonts w:ascii="Arial" w:cs="Arial" w:eastAsia="Arial" w:hAnsi="Arial"/>
                <w:sz w:val="18"/>
                <w:szCs w:val="18"/>
                <w:b w:val="1"/>
                <w:bCs w:val="1"/>
                <w:color w:val="auto"/>
                <w:w w:val="91"/>
              </w:rPr>
              <w:t>Santa Clara, California</w:t>
            </w:r>
          </w:p>
        </w:tc>
        <w:tc>
          <w:tcPr>
            <w:tcW w:w="1100" w:type="dxa"/>
            <w:vAlign w:val="bottom"/>
          </w:tcPr>
          <w:p>
            <w:pPr>
              <w:jc w:val="right"/>
              <w:ind w:right="244"/>
              <w:spacing w:after="0"/>
              <w:rPr>
                <w:sz w:val="20"/>
                <w:szCs w:val="20"/>
                <w:color w:val="auto"/>
              </w:rPr>
            </w:pPr>
            <w:r>
              <w:rPr>
                <w:rFonts w:ascii="Arial" w:cs="Arial" w:eastAsia="Arial" w:hAnsi="Arial"/>
                <w:sz w:val="18"/>
                <w:szCs w:val="18"/>
                <w:b w:val="1"/>
                <w:bCs w:val="1"/>
                <w:color w:val="auto"/>
              </w:rPr>
              <w:t>95054</w:t>
            </w:r>
          </w:p>
        </w:tc>
      </w:tr>
      <w:tr>
        <w:trPr>
          <w:trHeight w:val="174"/>
        </w:trPr>
        <w:tc>
          <w:tcPr>
            <w:tcW w:w="6420" w:type="dxa"/>
            <w:vAlign w:val="bottom"/>
          </w:tcPr>
          <w:p>
            <w:pPr>
              <w:jc w:val="center"/>
              <w:ind w:right="4022"/>
              <w:spacing w:after="0"/>
              <w:rPr>
                <w:sz w:val="20"/>
                <w:szCs w:val="20"/>
                <w:color w:val="auto"/>
              </w:rPr>
            </w:pPr>
            <w:r>
              <w:rPr>
                <w:rFonts w:ascii="Arial" w:cs="Arial" w:eastAsia="Arial" w:hAnsi="Arial"/>
                <w:sz w:val="14"/>
                <w:szCs w:val="14"/>
                <w:b w:val="1"/>
                <w:bCs w:val="1"/>
                <w:color w:val="auto"/>
                <w:w w:val="85"/>
              </w:rPr>
              <w:t>(Address of principal executive offices)</w:t>
            </w:r>
          </w:p>
        </w:tc>
        <w:tc>
          <w:tcPr>
            <w:tcW w:w="1100" w:type="dxa"/>
            <w:vAlign w:val="bottom"/>
          </w:tcPr>
          <w:p>
            <w:pPr>
              <w:jc w:val="center"/>
              <w:spacing w:after="0"/>
              <w:rPr>
                <w:sz w:val="20"/>
                <w:szCs w:val="20"/>
                <w:color w:val="auto"/>
              </w:rPr>
            </w:pPr>
            <w:r>
              <w:rPr>
                <w:rFonts w:ascii="Arial" w:cs="Arial" w:eastAsia="Arial" w:hAnsi="Arial"/>
                <w:sz w:val="14"/>
                <w:szCs w:val="14"/>
                <w:b w:val="1"/>
                <w:bCs w:val="1"/>
                <w:color w:val="auto"/>
                <w:w w:val="89"/>
              </w:rPr>
              <w:t>(Zip Code)</w:t>
            </w:r>
          </w:p>
        </w:tc>
      </w:tr>
      <w:tr>
        <w:trPr>
          <w:trHeight w:val="325"/>
        </w:trPr>
        <w:tc>
          <w:tcPr>
            <w:tcW w:w="6420" w:type="dxa"/>
            <w:vAlign w:val="bottom"/>
          </w:tcPr>
          <w:p>
            <w:pPr>
              <w:jc w:val="center"/>
              <w:ind w:left="1522"/>
              <w:spacing w:after="0"/>
              <w:rPr>
                <w:sz w:val="20"/>
                <w:szCs w:val="20"/>
                <w:color w:val="auto"/>
              </w:rPr>
            </w:pPr>
            <w:r>
              <w:rPr>
                <w:rFonts w:ascii="Arial" w:cs="Arial" w:eastAsia="Arial" w:hAnsi="Arial"/>
                <w:sz w:val="18"/>
                <w:szCs w:val="18"/>
                <w:b w:val="1"/>
                <w:bCs w:val="1"/>
                <w:color w:val="auto"/>
                <w:w w:val="89"/>
              </w:rPr>
              <w:t>(408) 567-7000</w:t>
            </w:r>
          </w:p>
        </w:tc>
        <w:tc>
          <w:tcPr>
            <w:tcW w:w="1100" w:type="dxa"/>
            <w:vAlign w:val="bottom"/>
          </w:tcPr>
          <w:p>
            <w:pPr>
              <w:spacing w:after="0"/>
              <w:rPr>
                <w:sz w:val="24"/>
                <w:szCs w:val="24"/>
                <w:color w:val="auto"/>
              </w:rPr>
            </w:pPr>
          </w:p>
        </w:tc>
      </w:tr>
      <w:tr>
        <w:trPr>
          <w:trHeight w:val="174"/>
        </w:trPr>
        <w:tc>
          <w:tcPr>
            <w:tcW w:w="6420" w:type="dxa"/>
            <w:vAlign w:val="bottom"/>
          </w:tcPr>
          <w:p>
            <w:pPr>
              <w:jc w:val="center"/>
              <w:ind w:left="1522"/>
              <w:spacing w:after="0"/>
              <w:rPr>
                <w:sz w:val="20"/>
                <w:szCs w:val="20"/>
                <w:color w:val="auto"/>
              </w:rPr>
            </w:pPr>
            <w:r>
              <w:rPr>
                <w:rFonts w:ascii="Arial" w:cs="Arial" w:eastAsia="Arial" w:hAnsi="Arial"/>
                <w:sz w:val="14"/>
                <w:szCs w:val="14"/>
                <w:b w:val="1"/>
                <w:bCs w:val="1"/>
                <w:color w:val="auto"/>
                <w:w w:val="86"/>
              </w:rPr>
              <w:t>(Registrant’s telephone number, including area code)</w:t>
            </w:r>
          </w:p>
        </w:tc>
        <w:tc>
          <w:tcPr>
            <w:tcW w:w="1100" w:type="dxa"/>
            <w:vAlign w:val="bottom"/>
          </w:tcPr>
          <w:p>
            <w:pPr>
              <w:spacing w:after="0"/>
              <w:rPr>
                <w:sz w:val="15"/>
                <w:szCs w:val="15"/>
                <w:color w:val="auto"/>
              </w:rPr>
            </w:pPr>
          </w:p>
        </w:tc>
      </w:tr>
      <w:tr>
        <w:trPr>
          <w:trHeight w:val="325"/>
        </w:trPr>
        <w:tc>
          <w:tcPr>
            <w:tcW w:w="6420" w:type="dxa"/>
            <w:vAlign w:val="bottom"/>
          </w:tcPr>
          <w:p>
            <w:pPr>
              <w:jc w:val="center"/>
              <w:ind w:left="1522"/>
              <w:spacing w:after="0"/>
              <w:rPr>
                <w:sz w:val="20"/>
                <w:szCs w:val="20"/>
                <w:color w:val="auto"/>
              </w:rPr>
            </w:pPr>
            <w:r>
              <w:rPr>
                <w:rFonts w:ascii="Arial" w:cs="Arial" w:eastAsia="Arial" w:hAnsi="Arial"/>
                <w:sz w:val="18"/>
                <w:szCs w:val="18"/>
                <w:b w:val="1"/>
                <w:bCs w:val="1"/>
                <w:color w:val="auto"/>
                <w:w w:val="84"/>
              </w:rPr>
              <w:t>No changes</w:t>
            </w:r>
          </w:p>
        </w:tc>
        <w:tc>
          <w:tcPr>
            <w:tcW w:w="1100" w:type="dxa"/>
            <w:vAlign w:val="bottom"/>
          </w:tcPr>
          <w:p>
            <w:pPr>
              <w:spacing w:after="0"/>
              <w:rPr>
                <w:sz w:val="24"/>
                <w:szCs w:val="24"/>
                <w:color w:val="auto"/>
              </w:rPr>
            </w:pPr>
          </w:p>
        </w:tc>
      </w:tr>
      <w:tr>
        <w:trPr>
          <w:trHeight w:val="174"/>
        </w:trPr>
        <w:tc>
          <w:tcPr>
            <w:tcW w:w="6420" w:type="dxa"/>
            <w:vAlign w:val="bottom"/>
          </w:tcPr>
          <w:p>
            <w:pPr>
              <w:jc w:val="center"/>
              <w:ind w:left="1522"/>
              <w:spacing w:after="0"/>
              <w:rPr>
                <w:sz w:val="20"/>
                <w:szCs w:val="20"/>
                <w:color w:val="auto"/>
              </w:rPr>
            </w:pPr>
            <w:r>
              <w:rPr>
                <w:rFonts w:ascii="Arial" w:cs="Arial" w:eastAsia="Arial" w:hAnsi="Arial"/>
                <w:sz w:val="14"/>
                <w:szCs w:val="14"/>
                <w:b w:val="1"/>
                <w:bCs w:val="1"/>
                <w:color w:val="auto"/>
                <w:w w:val="86"/>
              </w:rPr>
              <w:t>(Former name, former address and former fiscal year, if changed since last report)</w:t>
            </w:r>
          </w:p>
        </w:tc>
        <w:tc>
          <w:tcPr>
            <w:tcW w:w="1100" w:type="dxa"/>
            <w:vAlign w:val="bottom"/>
          </w:tcPr>
          <w:p>
            <w:pPr>
              <w:spacing w:after="0"/>
              <w:rPr>
                <w:sz w:val="15"/>
                <w:szCs w:val="15"/>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94615</wp:posOffset>
            </wp:positionV>
            <wp:extent cx="151765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15" w:lineRule="exact"/>
        <w:rPr>
          <w:sz w:val="24"/>
          <w:szCs w:val="24"/>
          <w:color w:val="auto"/>
        </w:rPr>
      </w:pPr>
    </w:p>
    <w:p>
      <w:pPr>
        <w:ind w:right="20"/>
        <w:spacing w:after="0" w:line="225" w:lineRule="exact"/>
        <w:rPr>
          <w:sz w:val="20"/>
          <w:szCs w:val="20"/>
          <w:color w:val="auto"/>
        </w:rPr>
      </w:pPr>
      <w:r>
        <w:rPr>
          <w:rFonts w:ascii="Arial" w:cs="Arial" w:eastAsia="Arial" w:hAnsi="Arial"/>
          <w:sz w:val="18"/>
          <w:szCs w:val="18"/>
          <w:color w:val="auto"/>
        </w:rPr>
        <w:t xml:space="preserve">Indicate by checkmark whether the registrant (l) has filed all reports required to be filed by Section 13 or 15 (d)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11" w:lineRule="exact"/>
        <w:rPr>
          <w:sz w:val="24"/>
          <w:szCs w:val="24"/>
          <w:color w:val="auto"/>
        </w:rPr>
      </w:pPr>
    </w:p>
    <w:p>
      <w:pPr>
        <w:ind w:right="140"/>
        <w:spacing w:after="0" w:line="225"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11" w:lineRule="exact"/>
        <w:rPr>
          <w:sz w:val="24"/>
          <w:szCs w:val="24"/>
          <w:color w:val="auto"/>
        </w:rPr>
      </w:pPr>
    </w:p>
    <w:p>
      <w:pPr>
        <w:ind w:right="420"/>
        <w:spacing w:after="0" w:line="33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pacing w:after="0" w:line="39" w:lineRule="exact"/>
        <w:rPr>
          <w:sz w:val="24"/>
          <w:szCs w:val="24"/>
          <w:color w:val="auto"/>
        </w:rPr>
      </w:pPr>
    </w:p>
    <w:tbl>
      <w:tblPr>
        <w:tblLayout w:type="fixed"/>
        <w:tblInd w:w="0" w:type="dxa"/>
        <w:tblCellMar>
          <w:top w:w="0" w:type="dxa"/>
          <w:left w:w="0" w:type="dxa"/>
          <w:bottom w:w="0" w:type="dxa"/>
          <w:right w:w="0" w:type="dxa"/>
        </w:tblCellMar>
      </w:tblPr>
      <w:tr>
        <w:trPr>
          <w:trHeight w:val="275"/>
        </w:trPr>
        <w:tc>
          <w:tcPr>
            <w:tcW w:w="1760" w:type="dxa"/>
            <w:vAlign w:val="bottom"/>
          </w:tcPr>
          <w:p>
            <w:pPr>
              <w:spacing w:after="0"/>
              <w:rPr>
                <w:sz w:val="20"/>
                <w:szCs w:val="20"/>
                <w:color w:val="auto"/>
              </w:rPr>
            </w:pPr>
            <w:r>
              <w:rPr>
                <w:rFonts w:ascii="Arial" w:cs="Arial" w:eastAsia="Arial" w:hAnsi="Arial"/>
                <w:sz w:val="18"/>
                <w:szCs w:val="18"/>
                <w:color w:val="auto"/>
                <w:w w:val="97"/>
              </w:rPr>
              <w:t>Large accelerated filer</w:t>
            </w:r>
          </w:p>
        </w:tc>
        <w:tc>
          <w:tcPr>
            <w:tcW w:w="7020" w:type="dxa"/>
            <w:vAlign w:val="bottom"/>
          </w:tcPr>
          <w:p>
            <w:pPr>
              <w:ind w:left="160"/>
              <w:spacing w:after="0" w:line="181" w:lineRule="exact"/>
              <w:rPr>
                <w:sz w:val="20"/>
                <w:szCs w:val="20"/>
                <w:color w:val="auto"/>
              </w:rPr>
            </w:pPr>
            <w:r>
              <w:rPr>
                <w:rFonts w:ascii="MS PGothic" w:cs="MS PGothic" w:eastAsia="MS PGothic" w:hAnsi="MS PGothic"/>
                <w:sz w:val="18"/>
                <w:szCs w:val="18"/>
                <w:color w:val="auto"/>
              </w:rPr>
              <w:t>☐</w:t>
            </w:r>
          </w:p>
        </w:tc>
        <w:tc>
          <w:tcPr>
            <w:tcW w:w="2240" w:type="dxa"/>
            <w:vAlign w:val="bottom"/>
          </w:tcPr>
          <w:p>
            <w:pPr>
              <w:ind w:left="80"/>
              <w:spacing w:after="0"/>
              <w:rPr>
                <w:sz w:val="20"/>
                <w:szCs w:val="20"/>
                <w:color w:val="auto"/>
              </w:rPr>
            </w:pPr>
            <w:r>
              <w:rPr>
                <w:rFonts w:ascii="Arial" w:cs="Arial" w:eastAsia="Arial" w:hAnsi="Arial"/>
                <w:sz w:val="18"/>
                <w:szCs w:val="18"/>
                <w:color w:val="auto"/>
              </w:rPr>
              <w:t>Accelerated filer</w:t>
            </w:r>
          </w:p>
        </w:tc>
        <w:tc>
          <w:tcPr>
            <w:tcW w:w="400" w:type="dxa"/>
            <w:vAlign w:val="bottom"/>
          </w:tcPr>
          <w:p>
            <w:pPr>
              <w:ind w:left="2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760" w:type="dxa"/>
            <w:vAlign w:val="bottom"/>
          </w:tcPr>
          <w:p>
            <w:pPr>
              <w:spacing w:after="0"/>
              <w:rPr>
                <w:sz w:val="20"/>
                <w:szCs w:val="20"/>
                <w:color w:val="auto"/>
              </w:rPr>
            </w:pPr>
            <w:r>
              <w:rPr>
                <w:rFonts w:ascii="Arial" w:cs="Arial" w:eastAsia="Arial" w:hAnsi="Arial"/>
                <w:sz w:val="18"/>
                <w:szCs w:val="18"/>
                <w:color w:val="auto"/>
              </w:rPr>
              <w:t>Non-accelerated filer</w:t>
            </w:r>
          </w:p>
        </w:tc>
        <w:tc>
          <w:tcPr>
            <w:tcW w:w="7020" w:type="dxa"/>
            <w:vAlign w:val="bottom"/>
          </w:tcPr>
          <w:p>
            <w:pPr>
              <w:ind w:left="16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(Do not check if a smaller reporting company)</w:t>
            </w:r>
          </w:p>
        </w:tc>
        <w:tc>
          <w:tcPr>
            <w:tcW w:w="2240" w:type="dxa"/>
            <w:vAlign w:val="bottom"/>
          </w:tcPr>
          <w:p>
            <w:pPr>
              <w:ind w:left="80"/>
              <w:spacing w:after="0"/>
              <w:rPr>
                <w:sz w:val="20"/>
                <w:szCs w:val="20"/>
                <w:color w:val="auto"/>
              </w:rPr>
            </w:pPr>
            <w:r>
              <w:rPr>
                <w:rFonts w:ascii="Arial" w:cs="Arial" w:eastAsia="Arial" w:hAnsi="Arial"/>
                <w:sz w:val="18"/>
                <w:szCs w:val="18"/>
                <w:color w:val="auto"/>
                <w:w w:val="99"/>
              </w:rPr>
              <w:t>Smaller reporting company</w:t>
            </w:r>
          </w:p>
        </w:tc>
        <w:tc>
          <w:tcPr>
            <w:tcW w:w="400" w:type="dxa"/>
            <w:vAlign w:val="bottom"/>
          </w:tcPr>
          <w:p>
            <w:pPr>
              <w:ind w:left="2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51"/>
        </w:trPr>
        <w:tc>
          <w:tcPr>
            <w:tcW w:w="8780" w:type="dxa"/>
            <w:vAlign w:val="bottom"/>
            <w:gridSpan w:val="2"/>
          </w:tcPr>
          <w:p>
            <w:pPr>
              <w:spacing w:after="0" w:line="207" w:lineRule="exact"/>
              <w:rPr>
                <w:sz w:val="20"/>
                <w:szCs w:val="20"/>
                <w:color w:val="auto"/>
              </w:rPr>
            </w:pPr>
            <w:r>
              <w:rPr>
                <w:rFonts w:ascii="Arial" w:cs="Arial" w:eastAsia="Arial" w:hAnsi="Arial"/>
                <w:sz w:val="18"/>
                <w:szCs w:val="18"/>
                <w:color w:val="auto"/>
                <w:w w:val="90"/>
              </w:rPr>
              <w:t xml:space="preserve">Indicate by check mark whether the registrant is a shell company (as defined in Rule 12 b-2 of the Exchange Act).  Yes </w:t>
            </w:r>
            <w:r>
              <w:rPr>
                <w:rFonts w:ascii="MS PGothic" w:cs="MS PGothic" w:eastAsia="MS PGothic" w:hAnsi="MS PGothic"/>
                <w:sz w:val="18"/>
                <w:szCs w:val="18"/>
                <w:color w:val="auto"/>
                <w:w w:val="90"/>
              </w:rPr>
              <w:t>☐</w:t>
            </w:r>
          </w:p>
        </w:tc>
        <w:tc>
          <w:tcPr>
            <w:tcW w:w="2240" w:type="dxa"/>
            <w:vAlign w:val="bottom"/>
          </w:tcPr>
          <w:p>
            <w:pPr>
              <w:ind w:left="100"/>
              <w:spacing w:after="0" w:line="207" w:lineRule="exact"/>
              <w:rPr>
                <w:sz w:val="20"/>
                <w:szCs w:val="20"/>
                <w:color w:val="auto"/>
              </w:rPr>
            </w:pPr>
            <w:r>
              <w:rPr>
                <w:rFonts w:ascii="Arial" w:cs="Arial" w:eastAsia="Arial" w:hAnsi="Arial"/>
                <w:sz w:val="18"/>
                <w:szCs w:val="18"/>
                <w:color w:val="auto"/>
              </w:rPr>
              <w:t xml:space="preserve">No </w:t>
            </w:r>
            <w:r>
              <w:rPr>
                <w:rFonts w:ascii="MS PGothic" w:cs="MS PGothic" w:eastAsia="MS PGothic" w:hAnsi="MS PGothic"/>
                <w:sz w:val="18"/>
                <w:szCs w:val="18"/>
                <w:color w:val="auto"/>
              </w:rPr>
              <w:t>☒</w:t>
            </w:r>
          </w:p>
        </w:tc>
        <w:tc>
          <w:tcPr>
            <w:tcW w:w="400" w:type="dxa"/>
            <w:vAlign w:val="bottom"/>
          </w:tcPr>
          <w:p>
            <w:pPr>
              <w:spacing w:after="0"/>
              <w:rPr>
                <w:sz w:val="24"/>
                <w:szCs w:val="24"/>
                <w:color w:val="auto"/>
              </w:rPr>
            </w:pPr>
          </w:p>
        </w:tc>
      </w:tr>
      <w:tr>
        <w:trPr>
          <w:trHeight w:val="331"/>
        </w:trPr>
        <w:tc>
          <w:tcPr>
            <w:tcW w:w="8780" w:type="dxa"/>
            <w:vAlign w:val="bottom"/>
            <w:gridSpan w:val="2"/>
          </w:tcPr>
          <w:p>
            <w:pPr>
              <w:spacing w:after="0"/>
              <w:rPr>
                <w:sz w:val="20"/>
                <w:szCs w:val="20"/>
                <w:color w:val="auto"/>
              </w:rPr>
            </w:pPr>
            <w:r>
              <w:rPr>
                <w:rFonts w:ascii="Arial" w:cs="Arial" w:eastAsia="Arial" w:hAnsi="Arial"/>
                <w:sz w:val="18"/>
                <w:szCs w:val="18"/>
                <w:color w:val="auto"/>
                <w:w w:val="94"/>
              </w:rPr>
              <w:t>The number of shares outstanding of the registrant’s Common Stock as of February 2, 2011 was 60,539,388 shares.</w:t>
            </w:r>
          </w:p>
        </w:tc>
        <w:tc>
          <w:tcPr>
            <w:tcW w:w="224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164"/>
        </w:trPr>
        <w:tc>
          <w:tcPr>
            <w:tcW w:w="1760" w:type="dxa"/>
            <w:vAlign w:val="bottom"/>
            <w:tcBorders>
              <w:bottom w:val="single" w:sz="8" w:color="auto"/>
            </w:tcBorders>
          </w:tcPr>
          <w:p>
            <w:pPr>
              <w:spacing w:after="0"/>
              <w:rPr>
                <w:sz w:val="14"/>
                <w:szCs w:val="14"/>
                <w:color w:val="auto"/>
              </w:rPr>
            </w:pPr>
          </w:p>
        </w:tc>
        <w:tc>
          <w:tcPr>
            <w:tcW w:w="7020" w:type="dxa"/>
            <w:vAlign w:val="bottom"/>
            <w:tcBorders>
              <w:bottom w:val="single" w:sz="8" w:color="auto"/>
            </w:tcBorders>
          </w:tcPr>
          <w:p>
            <w:pPr>
              <w:spacing w:after="0"/>
              <w:rPr>
                <w:sz w:val="14"/>
                <w:szCs w:val="14"/>
                <w:color w:val="auto"/>
              </w:rPr>
            </w:pPr>
          </w:p>
        </w:tc>
        <w:tc>
          <w:tcPr>
            <w:tcW w:w="224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r>
      <w:tr>
        <w:trPr>
          <w:trHeight w:val="21"/>
        </w:trPr>
        <w:tc>
          <w:tcPr>
            <w:tcW w:w="1760" w:type="dxa"/>
            <w:vAlign w:val="bottom"/>
            <w:tcBorders>
              <w:bottom w:val="single" w:sz="8" w:color="auto"/>
            </w:tcBorders>
          </w:tcPr>
          <w:p>
            <w:pPr>
              <w:spacing w:after="0" w:line="20" w:lineRule="exact"/>
              <w:rPr>
                <w:sz w:val="1"/>
                <w:szCs w:val="1"/>
                <w:color w:val="auto"/>
              </w:rPr>
            </w:pPr>
          </w:p>
        </w:tc>
        <w:tc>
          <w:tcPr>
            <w:tcW w:w="7020" w:type="dxa"/>
            <w:vAlign w:val="bottom"/>
            <w:tcBorders>
              <w:bottom w:val="single" w:sz="8" w:color="auto"/>
            </w:tcBorders>
          </w:tcPr>
          <w:p>
            <w:pPr>
              <w:spacing w:after="0" w:line="20" w:lineRule="exact"/>
              <w:rPr>
                <w:sz w:val="1"/>
                <w:szCs w:val="1"/>
                <w:color w:val="auto"/>
              </w:rPr>
            </w:pPr>
          </w:p>
        </w:tc>
        <w:tc>
          <w:tcPr>
            <w:tcW w:w="22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1">
            <w:col w:w="11420"/>
          </w:cols>
          <w:pgMar w:left="240" w:top="230" w:right="23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AVIAT NETWORKS, INC.</w:t>
      </w:r>
    </w:p>
    <w:p>
      <w:pPr>
        <w:spacing w:after="0" w:line="2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FORM 10-Q</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For the Quarter Ended December 31, 2010</w:t>
      </w:r>
    </w:p>
    <w:p>
      <w:pPr>
        <w:spacing w:after="0" w:line="15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INDEX</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040" w:type="dxa"/>
            <w:vAlign w:val="bottom"/>
            <w:gridSpan w:val="17"/>
            <w:vMerge w:val="restart"/>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Part I. Financial Information</w:t>
              </w:r>
            </w:hyperlink>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77"/>
              </w:rPr>
              <w:t>Page</w:t>
            </w:r>
          </w:p>
        </w:tc>
        <w:tc>
          <w:tcPr>
            <w:tcW w:w="0" w:type="dxa"/>
            <w:vAlign w:val="bottom"/>
          </w:tcPr>
          <w:p>
            <w:pPr>
              <w:spacing w:after="0"/>
              <w:rPr>
                <w:sz w:val="1"/>
                <w:szCs w:val="1"/>
                <w:color w:val="auto"/>
              </w:rPr>
            </w:pPr>
          </w:p>
        </w:tc>
      </w:tr>
      <w:tr>
        <w:trPr>
          <w:trHeight w:val="169"/>
        </w:trPr>
        <w:tc>
          <w:tcPr>
            <w:tcW w:w="11040" w:type="dxa"/>
            <w:vAlign w:val="bottom"/>
            <w:gridSpan w:val="17"/>
            <w:vMerge w:val="continue"/>
          </w:tcPr>
          <w:p>
            <w:pPr>
              <w:spacing w:after="0"/>
              <w:rPr>
                <w:sz w:val="14"/>
                <w:szCs w:val="14"/>
                <w:color w:val="auto"/>
              </w:rPr>
            </w:pP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40" w:type="dxa"/>
            <w:vAlign w:val="bottom"/>
          </w:tcPr>
          <w:p>
            <w:pPr>
              <w:spacing w:after="0"/>
              <w:rPr>
                <w:sz w:val="17"/>
                <w:szCs w:val="17"/>
                <w:color w:val="auto"/>
              </w:rPr>
            </w:pPr>
          </w:p>
        </w:tc>
        <w:tc>
          <w:tcPr>
            <w:tcW w:w="10600" w:type="dxa"/>
            <w:vAlign w:val="bottom"/>
            <w:gridSpan w:val="16"/>
          </w:tcPr>
          <w:p>
            <w:pPr>
              <w:spacing w:after="0" w:line="196" w:lineRule="exact"/>
              <w:rPr>
                <w:rFonts w:ascii="Arial" w:cs="Arial" w:eastAsia="Arial" w:hAnsi="Arial"/>
                <w:sz w:val="18"/>
                <w:szCs w:val="18"/>
                <w:color w:val="0000EE"/>
              </w:rPr>
            </w:pPr>
            <w:hyperlink w:anchor="page3">
              <w:r>
                <w:rPr>
                  <w:rFonts w:ascii="Arial" w:cs="Arial" w:eastAsia="Arial" w:hAnsi="Arial"/>
                  <w:sz w:val="18"/>
                  <w:szCs w:val="18"/>
                  <w:color w:val="0000EE"/>
                </w:rPr>
                <w:t>Item 1. Financial Statements (Unaudited)</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40" w:type="dxa"/>
            <w:vAlign w:val="bottom"/>
          </w:tcPr>
          <w:p>
            <w:pPr>
              <w:spacing w:after="0"/>
              <w:rPr>
                <w:sz w:val="17"/>
                <w:szCs w:val="17"/>
                <w:color w:val="auto"/>
              </w:rPr>
            </w:pPr>
          </w:p>
        </w:tc>
        <w:tc>
          <w:tcPr>
            <w:tcW w:w="10600" w:type="dxa"/>
            <w:vAlign w:val="bottom"/>
            <w:gridSpan w:val="16"/>
          </w:tcPr>
          <w:p>
            <w:pPr>
              <w:spacing w:after="0" w:line="196" w:lineRule="exact"/>
              <w:rPr>
                <w:rFonts w:ascii="Arial" w:cs="Arial" w:eastAsia="Arial" w:hAnsi="Arial"/>
                <w:sz w:val="18"/>
                <w:szCs w:val="18"/>
                <w:color w:val="0000EE"/>
                <w:w w:val="98"/>
              </w:rPr>
            </w:pPr>
            <w:hyperlink w:anchor="page3">
              <w:r>
                <w:rPr>
                  <w:rFonts w:ascii="Arial" w:cs="Arial" w:eastAsia="Arial" w:hAnsi="Arial"/>
                  <w:sz w:val="18"/>
                  <w:szCs w:val="18"/>
                  <w:color w:val="0000EE"/>
                  <w:w w:val="98"/>
                </w:rPr>
                <w:t>Condensed Consolidated Statements of Operations for the Quarter and Two Quarters ended December 31, 2010 and January 1, 2010</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5880" w:type="dxa"/>
            <w:vAlign w:val="bottom"/>
            <w:tcBorders>
              <w:top w:val="single" w:sz="8" w:color="0000EE"/>
              <w:bottom w:val="single" w:sz="8" w:color="0000EE"/>
            </w:tcBorders>
            <w:gridSpan w:val="12"/>
          </w:tcPr>
          <w:p>
            <w:pPr>
              <w:spacing w:after="0" w:line="196" w:lineRule="exact"/>
              <w:rPr>
                <w:rFonts w:ascii="Arial" w:cs="Arial" w:eastAsia="Arial" w:hAnsi="Arial"/>
                <w:sz w:val="18"/>
                <w:szCs w:val="18"/>
                <w:color w:val="0000EE"/>
                <w:w w:val="86"/>
              </w:rPr>
            </w:pPr>
            <w:hyperlink w:anchor="page4">
              <w:r>
                <w:rPr>
                  <w:rFonts w:ascii="Arial" w:cs="Arial" w:eastAsia="Arial" w:hAnsi="Arial"/>
                  <w:sz w:val="18"/>
                  <w:szCs w:val="18"/>
                  <w:color w:val="0000EE"/>
                  <w:w w:val="86"/>
                </w:rPr>
                <w:t>Condensed Consolidated Balance Sheets as of December 31, 2010 and July 2, 2010</w:t>
              </w:r>
            </w:hyperlink>
          </w:p>
        </w:tc>
        <w:tc>
          <w:tcPr>
            <w:tcW w:w="3460" w:type="dxa"/>
            <w:vAlign w:val="bottom"/>
            <w:tcBorders>
              <w:top w:val="single" w:sz="8" w:color="0000EE"/>
            </w:tcBorders>
            <w:gridSpan w:val="3"/>
          </w:tcPr>
          <w:p>
            <w:pPr>
              <w:spacing w:after="0"/>
              <w:rPr>
                <w:sz w:val="17"/>
                <w:szCs w:val="17"/>
                <w:color w:val="auto"/>
              </w:rPr>
            </w:pPr>
          </w:p>
        </w:tc>
        <w:tc>
          <w:tcPr>
            <w:tcW w:w="1260" w:type="dxa"/>
            <w:vAlign w:val="bottom"/>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10600" w:type="dxa"/>
            <w:vAlign w:val="bottom"/>
            <w:gridSpan w:val="16"/>
          </w:tcPr>
          <w:p>
            <w:pPr>
              <w:spacing w:after="0" w:line="196" w:lineRule="exact"/>
              <w:rPr>
                <w:rFonts w:ascii="Arial" w:cs="Arial" w:eastAsia="Arial" w:hAnsi="Arial"/>
                <w:sz w:val="18"/>
                <w:szCs w:val="18"/>
                <w:color w:val="0000EE"/>
              </w:rPr>
            </w:pPr>
            <w:hyperlink w:anchor="page5">
              <w:r>
                <w:rPr>
                  <w:rFonts w:ascii="Arial" w:cs="Arial" w:eastAsia="Arial" w:hAnsi="Arial"/>
                  <w:sz w:val="18"/>
                  <w:szCs w:val="18"/>
                  <w:color w:val="0000EE"/>
                </w:rPr>
                <w:t>Condensed Consolidated Statements of Cash Flows for the Two Quarters ended December 31, 2010 and January 1, 2010</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8520" w:type="dxa"/>
            <w:vAlign w:val="bottom"/>
            <w:tcBorders>
              <w:top w:val="single" w:sz="8" w:color="0000EE"/>
            </w:tcBorders>
            <w:gridSpan w:val="14"/>
          </w:tcPr>
          <w:p>
            <w:pPr>
              <w:spacing w:after="0" w:line="196" w:lineRule="exact"/>
              <w:rPr>
                <w:rFonts w:ascii="Arial" w:cs="Arial" w:eastAsia="Arial" w:hAnsi="Arial"/>
                <w:sz w:val="18"/>
                <w:szCs w:val="18"/>
                <w:color w:val="0000EE"/>
              </w:rPr>
            </w:pPr>
            <w:hyperlink w:anchor="page6">
              <w:r>
                <w:rPr>
                  <w:rFonts w:ascii="Arial" w:cs="Arial" w:eastAsia="Arial" w:hAnsi="Arial"/>
                  <w:sz w:val="18"/>
                  <w:szCs w:val="18"/>
                  <w:color w:val="0000EE"/>
                </w:rPr>
                <w:t>Notes to Condensed Consolidated Financial Statements (Unaudited)</w:t>
              </w:r>
            </w:hyperlink>
          </w:p>
        </w:tc>
        <w:tc>
          <w:tcPr>
            <w:tcW w:w="2080" w:type="dxa"/>
            <w:vAlign w:val="bottom"/>
            <w:gridSpan w:val="2"/>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52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40" w:type="dxa"/>
            <w:vAlign w:val="bottom"/>
            <w:gridSpan w:val="2"/>
          </w:tcPr>
          <w:p>
            <w:pPr>
              <w:spacing w:after="0" w:line="20" w:lineRule="exact"/>
              <w:rPr>
                <w:sz w:val="1"/>
                <w:szCs w:val="1"/>
                <w:color w:val="auto"/>
              </w:rPr>
            </w:pPr>
          </w:p>
        </w:tc>
        <w:tc>
          <w:tcPr>
            <w:tcW w:w="3760" w:type="dxa"/>
            <w:vAlign w:val="bottom"/>
            <w:gridSpan w:val="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40" w:type="dxa"/>
            <w:vAlign w:val="bottom"/>
          </w:tcPr>
          <w:p>
            <w:pPr>
              <w:spacing w:after="0"/>
              <w:rPr>
                <w:sz w:val="17"/>
                <w:szCs w:val="17"/>
                <w:color w:val="auto"/>
              </w:rPr>
            </w:pPr>
          </w:p>
        </w:tc>
        <w:tc>
          <w:tcPr>
            <w:tcW w:w="10600" w:type="dxa"/>
            <w:vAlign w:val="bottom"/>
            <w:gridSpan w:val="16"/>
          </w:tcPr>
          <w:p>
            <w:pPr>
              <w:spacing w:after="0" w:line="196" w:lineRule="exact"/>
              <w:rPr>
                <w:rFonts w:ascii="Arial" w:cs="Arial" w:eastAsia="Arial" w:hAnsi="Arial"/>
                <w:sz w:val="18"/>
                <w:szCs w:val="18"/>
                <w:color w:val="0000EE"/>
              </w:rPr>
            </w:pPr>
            <w:hyperlink w:anchor="page18">
              <w:r>
                <w:rPr>
                  <w:rFonts w:ascii="Arial" w:cs="Arial" w:eastAsia="Arial" w:hAnsi="Arial"/>
                  <w:sz w:val="18"/>
                  <w:szCs w:val="18"/>
                  <w:color w:val="0000EE"/>
                </w:rPr>
                <w:t>Item 2. Management’s Discussion and Analysis of Financial Condition and Results of Operations</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4800" w:type="dxa"/>
            <w:vAlign w:val="bottom"/>
            <w:tcBorders>
              <w:top w:val="single" w:sz="8" w:color="0000EE"/>
              <w:bottom w:val="single" w:sz="8" w:color="0000EE"/>
            </w:tcBorders>
            <w:gridSpan w:val="11"/>
          </w:tcPr>
          <w:p>
            <w:pPr>
              <w:spacing w:after="0" w:line="196" w:lineRule="exact"/>
              <w:rPr>
                <w:rFonts w:ascii="Arial" w:cs="Arial" w:eastAsia="Arial" w:hAnsi="Arial"/>
                <w:sz w:val="18"/>
                <w:szCs w:val="18"/>
                <w:color w:val="0000EE"/>
                <w:w w:val="89"/>
              </w:rPr>
            </w:pPr>
            <w:hyperlink w:anchor="page29">
              <w:r>
                <w:rPr>
                  <w:rFonts w:ascii="Arial" w:cs="Arial" w:eastAsia="Arial" w:hAnsi="Arial"/>
                  <w:sz w:val="18"/>
                  <w:szCs w:val="18"/>
                  <w:color w:val="0000EE"/>
                  <w:w w:val="89"/>
                </w:rPr>
                <w:t>Item 3. Quantitative and Qualitative Disclosures About Market Risk</w:t>
              </w:r>
            </w:hyperlink>
          </w:p>
        </w:tc>
        <w:tc>
          <w:tcPr>
            <w:tcW w:w="2040" w:type="dxa"/>
            <w:vAlign w:val="bottom"/>
            <w:tcBorders>
              <w:top w:val="single" w:sz="8" w:color="0000EE"/>
            </w:tcBorders>
            <w:gridSpan w:val="2"/>
          </w:tcPr>
          <w:p>
            <w:pPr>
              <w:spacing w:after="0"/>
              <w:rPr>
                <w:sz w:val="17"/>
                <w:szCs w:val="17"/>
                <w:color w:val="auto"/>
              </w:rPr>
            </w:pPr>
          </w:p>
        </w:tc>
        <w:tc>
          <w:tcPr>
            <w:tcW w:w="3760" w:type="dxa"/>
            <w:vAlign w:val="bottom"/>
            <w:gridSpan w:val="3"/>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10600" w:type="dxa"/>
            <w:vAlign w:val="bottom"/>
            <w:gridSpan w:val="16"/>
          </w:tcPr>
          <w:p>
            <w:pPr>
              <w:spacing w:after="0" w:line="196" w:lineRule="exact"/>
              <w:rPr>
                <w:rFonts w:ascii="Arial" w:cs="Arial" w:eastAsia="Arial" w:hAnsi="Arial"/>
                <w:sz w:val="18"/>
                <w:szCs w:val="18"/>
                <w:color w:val="0000EE"/>
              </w:rPr>
            </w:pPr>
            <w:hyperlink w:anchor="page30">
              <w:r>
                <w:rPr>
                  <w:rFonts w:ascii="Arial" w:cs="Arial" w:eastAsia="Arial" w:hAnsi="Arial"/>
                  <w:sz w:val="18"/>
                  <w:szCs w:val="18"/>
                  <w:color w:val="0000EE"/>
                </w:rPr>
                <w:t>Item 4. Controls and Procedures</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8340" w:type="dxa"/>
            <w:vAlign w:val="bottom"/>
            <w:gridSpan w:val="8"/>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20" w:type="dxa"/>
            <w:vAlign w:val="bottom"/>
            <w:tcBorders>
              <w:bottom w:val="single" w:sz="8" w:color="0000EE"/>
            </w:tcBorders>
            <w:gridSpan w:val="6"/>
          </w:tcPr>
          <w:p>
            <w:pPr>
              <w:spacing w:after="0" w:line="196" w:lineRule="exact"/>
              <w:rPr>
                <w:rFonts w:ascii="Arial" w:cs="Arial" w:eastAsia="Arial" w:hAnsi="Arial"/>
                <w:sz w:val="18"/>
                <w:szCs w:val="18"/>
                <w:b w:val="1"/>
                <w:bCs w:val="1"/>
                <w:color w:val="0000EE"/>
                <w:w w:val="94"/>
              </w:rPr>
            </w:pPr>
            <w:hyperlink w:anchor="page31">
              <w:r>
                <w:rPr>
                  <w:rFonts w:ascii="Arial" w:cs="Arial" w:eastAsia="Arial" w:hAnsi="Arial"/>
                  <w:sz w:val="18"/>
                  <w:szCs w:val="18"/>
                  <w:b w:val="1"/>
                  <w:bCs w:val="1"/>
                  <w:color w:val="0000EE"/>
                  <w:w w:val="94"/>
                </w:rPr>
                <w:t>Part II. Other Information</w:t>
              </w:r>
            </w:hyperlink>
          </w:p>
        </w:tc>
        <w:tc>
          <w:tcPr>
            <w:tcW w:w="9020" w:type="dxa"/>
            <w:vAlign w:val="bottom"/>
            <w:gridSpan w:val="11"/>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10600" w:type="dxa"/>
            <w:vAlign w:val="bottom"/>
            <w:gridSpan w:val="16"/>
          </w:tcPr>
          <w:p>
            <w:pPr>
              <w:spacing w:after="0" w:line="196" w:lineRule="exact"/>
              <w:rPr>
                <w:rFonts w:ascii="Arial" w:cs="Arial" w:eastAsia="Arial" w:hAnsi="Arial"/>
                <w:sz w:val="18"/>
                <w:szCs w:val="18"/>
                <w:color w:val="0000EE"/>
              </w:rPr>
            </w:pPr>
            <w:hyperlink w:anchor="page31">
              <w:r>
                <w:rPr>
                  <w:rFonts w:ascii="Arial" w:cs="Arial" w:eastAsia="Arial" w:hAnsi="Arial"/>
                  <w:sz w:val="18"/>
                  <w:szCs w:val="18"/>
                  <w:color w:val="0000EE"/>
                </w:rPr>
                <w:t>Item 1. Legal Proceedings</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156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89"/>
              </w:rPr>
            </w:pPr>
            <w:hyperlink w:anchor="page31">
              <w:r>
                <w:rPr>
                  <w:rFonts w:ascii="Arial" w:cs="Arial" w:eastAsia="Arial" w:hAnsi="Arial"/>
                  <w:sz w:val="18"/>
                  <w:szCs w:val="18"/>
                  <w:color w:val="0000EE"/>
                  <w:w w:val="89"/>
                </w:rPr>
                <w:t>Item 1A. Risk Factors</w:t>
              </w:r>
            </w:hyperlink>
          </w:p>
        </w:tc>
        <w:tc>
          <w:tcPr>
            <w:tcW w:w="280" w:type="dxa"/>
            <w:vAlign w:val="bottom"/>
            <w:tcBorders>
              <w:top w:val="single" w:sz="8" w:color="0000EE"/>
            </w:tcBorders>
            <w:gridSpan w:val="3"/>
          </w:tcPr>
          <w:p>
            <w:pPr>
              <w:spacing w:after="0"/>
              <w:rPr>
                <w:sz w:val="17"/>
                <w:szCs w:val="17"/>
                <w:color w:val="auto"/>
              </w:rPr>
            </w:pPr>
          </w:p>
        </w:tc>
        <w:tc>
          <w:tcPr>
            <w:tcW w:w="8760" w:type="dxa"/>
            <w:vAlign w:val="bottom"/>
            <w:gridSpan w:val="9"/>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10600" w:type="dxa"/>
            <w:vAlign w:val="bottom"/>
            <w:gridSpan w:val="16"/>
          </w:tcPr>
          <w:p>
            <w:pPr>
              <w:spacing w:after="0" w:line="196" w:lineRule="exact"/>
              <w:rPr>
                <w:rFonts w:ascii="Arial" w:cs="Arial" w:eastAsia="Arial" w:hAnsi="Arial"/>
                <w:sz w:val="18"/>
                <w:szCs w:val="18"/>
                <w:color w:val="0000EE"/>
              </w:rPr>
            </w:pPr>
            <w:hyperlink w:anchor="page31">
              <w:r>
                <w:rPr>
                  <w:rFonts w:ascii="Arial" w:cs="Arial" w:eastAsia="Arial" w:hAnsi="Arial"/>
                  <w:sz w:val="18"/>
                  <w:szCs w:val="18"/>
                  <w:color w:val="0000EE"/>
                </w:rPr>
                <w:t>Item 6. Exhibits</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9480" w:type="dxa"/>
            <w:vAlign w:val="bottom"/>
            <w:gridSpan w:val="1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40" w:type="dxa"/>
            <w:vAlign w:val="bottom"/>
            <w:tcBorders>
              <w:bottom w:val="single" w:sz="8" w:color="0000EE"/>
            </w:tcBorders>
            <w:gridSpan w:val="2"/>
          </w:tcPr>
          <w:p>
            <w:pPr>
              <w:spacing w:after="0" w:line="196" w:lineRule="exact"/>
              <w:rPr>
                <w:rFonts w:ascii="Arial" w:cs="Arial" w:eastAsia="Arial" w:hAnsi="Arial"/>
                <w:sz w:val="18"/>
                <w:szCs w:val="18"/>
                <w:b w:val="1"/>
                <w:bCs w:val="1"/>
                <w:color w:val="0000EE"/>
                <w:w w:val="86"/>
              </w:rPr>
            </w:pPr>
            <w:hyperlink w:anchor="page32">
              <w:r>
                <w:rPr>
                  <w:rFonts w:ascii="Arial" w:cs="Arial" w:eastAsia="Arial" w:hAnsi="Arial"/>
                  <w:sz w:val="18"/>
                  <w:szCs w:val="18"/>
                  <w:b w:val="1"/>
                  <w:bCs w:val="1"/>
                  <w:color w:val="0000EE"/>
                  <w:w w:val="86"/>
                </w:rPr>
                <w:t>Signature</w:t>
              </w:r>
            </w:hyperlink>
          </w:p>
        </w:tc>
        <w:tc>
          <w:tcPr>
            <w:tcW w:w="10300" w:type="dxa"/>
            <w:vAlign w:val="bottom"/>
            <w:gridSpan w:val="15"/>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196"/>
        </w:trPr>
        <w:tc>
          <w:tcPr>
            <w:tcW w:w="1040" w:type="dxa"/>
            <w:vAlign w:val="bottom"/>
            <w:tcBorders>
              <w:bottom w:val="single" w:sz="8" w:color="0000EE"/>
            </w:tcBorders>
            <w:gridSpan w:val="3"/>
          </w:tcPr>
          <w:p>
            <w:pPr>
              <w:spacing w:after="0" w:line="196" w:lineRule="exact"/>
              <w:rPr>
                <w:rFonts w:ascii="Arial" w:cs="Arial" w:eastAsia="Arial" w:hAnsi="Arial"/>
                <w:sz w:val="18"/>
                <w:szCs w:val="18"/>
                <w:b w:val="1"/>
                <w:bCs w:val="1"/>
                <w:color w:val="0000EE"/>
                <w:w w:val="90"/>
              </w:rPr>
            </w:pPr>
            <w:hyperlink w:anchor="page33">
              <w:r>
                <w:rPr>
                  <w:rFonts w:ascii="Arial" w:cs="Arial" w:eastAsia="Arial" w:hAnsi="Arial"/>
                  <w:sz w:val="18"/>
                  <w:szCs w:val="18"/>
                  <w:b w:val="1"/>
                  <w:bCs w:val="1"/>
                  <w:color w:val="0000EE"/>
                  <w:w w:val="90"/>
                </w:rPr>
                <w:t>Exhibit Index</w:t>
              </w:r>
            </w:hyperlink>
          </w:p>
        </w:tc>
        <w:tc>
          <w:tcPr>
            <w:tcW w:w="10000" w:type="dxa"/>
            <w:vAlign w:val="bottom"/>
            <w:gridSpan w:val="14"/>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83"/>
        </w:trPr>
        <w:tc>
          <w:tcPr>
            <w:tcW w:w="6320" w:type="dxa"/>
            <w:vAlign w:val="bottom"/>
            <w:gridSpan w:val="13"/>
          </w:tcPr>
          <w:p>
            <w:pPr>
              <w:ind w:left="5680"/>
              <w:spacing w:after="0"/>
              <w:rPr>
                <w:sz w:val="20"/>
                <w:szCs w:val="20"/>
                <w:color w:val="auto"/>
              </w:rPr>
            </w:pPr>
            <w:r>
              <w:rPr>
                <w:rFonts w:ascii="Arial" w:cs="Arial" w:eastAsia="Arial" w:hAnsi="Arial"/>
                <w:sz w:val="18"/>
                <w:szCs w:val="18"/>
                <w:color w:val="auto"/>
              </w:rPr>
              <w:t>2</w:t>
            </w:r>
          </w:p>
        </w:tc>
        <w:tc>
          <w:tcPr>
            <w:tcW w:w="9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20"/>
          </w:cols>
          <w:pgMar w:left="240" w:top="459" w:right="3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 FINANCIAL INFORMATION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AVIAT NETWORKS,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20" w:type="dxa"/>
            <w:vAlign w:val="bottom"/>
            <w:gridSpan w:val="4"/>
          </w:tcPr>
          <w:p>
            <w:pPr>
              <w:ind w:left="380"/>
              <w:spacing w:after="0"/>
              <w:rPr>
                <w:sz w:val="20"/>
                <w:szCs w:val="20"/>
                <w:color w:val="auto"/>
              </w:rPr>
            </w:pPr>
            <w:r>
              <w:rPr>
                <w:rFonts w:ascii="Arial" w:cs="Arial" w:eastAsia="Arial" w:hAnsi="Arial"/>
                <w:sz w:val="14"/>
                <w:szCs w:val="14"/>
                <w:b w:val="1"/>
                <w:bCs w:val="1"/>
                <w:color w:val="auto"/>
                <w:w w:val="94"/>
              </w:rPr>
              <w:t>Quarter Ended</w:t>
            </w:r>
          </w:p>
        </w:tc>
        <w:tc>
          <w:tcPr>
            <w:tcW w:w="5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920" w:type="dxa"/>
            <w:vAlign w:val="bottom"/>
            <w:gridSpan w:val="6"/>
          </w:tcPr>
          <w:p>
            <w:pPr>
              <w:jc w:val="right"/>
              <w:ind w:right="500"/>
              <w:spacing w:after="0"/>
              <w:rPr>
                <w:sz w:val="20"/>
                <w:szCs w:val="20"/>
                <w:color w:val="auto"/>
              </w:rPr>
            </w:pPr>
            <w:r>
              <w:rPr>
                <w:rFonts w:ascii="Arial" w:cs="Arial" w:eastAsia="Arial" w:hAnsi="Arial"/>
                <w:sz w:val="14"/>
                <w:szCs w:val="14"/>
                <w:b w:val="1"/>
                <w:bCs w:val="1"/>
                <w:color w:val="auto"/>
              </w:rPr>
              <w:t>Two Quarters Ended</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760" w:type="dxa"/>
            <w:vAlign w:val="bottom"/>
          </w:tcPr>
          <w:p>
            <w:pPr>
              <w:spacing w:after="0"/>
              <w:rPr>
                <w:sz w:val="11"/>
                <w:szCs w:val="11"/>
                <w:color w:val="auto"/>
              </w:rPr>
            </w:pPr>
          </w:p>
        </w:tc>
        <w:tc>
          <w:tcPr>
            <w:tcW w:w="1360" w:type="dxa"/>
            <w:vAlign w:val="bottom"/>
            <w:tcBorders>
              <w:top w:val="single" w:sz="8" w:color="auto"/>
            </w:tcBorders>
            <w:gridSpan w:val="4"/>
          </w:tcPr>
          <w:p>
            <w:pPr>
              <w:spacing w:after="0" w:line="129" w:lineRule="exact"/>
              <w:rPr>
                <w:sz w:val="20"/>
                <w:szCs w:val="20"/>
                <w:color w:val="auto"/>
              </w:rPr>
            </w:pPr>
            <w:r>
              <w:rPr>
                <w:rFonts w:ascii="Arial" w:cs="Arial" w:eastAsia="Arial" w:hAnsi="Arial"/>
                <w:sz w:val="14"/>
                <w:szCs w:val="14"/>
                <w:b w:val="1"/>
                <w:bCs w:val="1"/>
                <w:color w:val="auto"/>
              </w:rPr>
              <w:t>December 31,</w:t>
            </w:r>
          </w:p>
        </w:tc>
        <w:tc>
          <w:tcPr>
            <w:tcW w:w="620" w:type="dxa"/>
            <w:vAlign w:val="bottom"/>
            <w:tcBorders>
              <w:top w:val="single" w:sz="8" w:color="auto"/>
            </w:tcBorders>
            <w:gridSpan w:val="2"/>
          </w:tcPr>
          <w:p>
            <w:pPr>
              <w:spacing w:after="0" w:line="129" w:lineRule="exact"/>
              <w:rPr>
                <w:sz w:val="20"/>
                <w:szCs w:val="20"/>
                <w:color w:val="auto"/>
              </w:rPr>
            </w:pPr>
            <w:r>
              <w:rPr>
                <w:rFonts w:ascii="Arial" w:cs="Arial" w:eastAsia="Arial" w:hAnsi="Arial"/>
                <w:sz w:val="14"/>
                <w:szCs w:val="14"/>
                <w:b w:val="1"/>
                <w:bCs w:val="1"/>
                <w:color w:val="auto"/>
                <w:w w:val="86"/>
              </w:rPr>
              <w:t>January 1,</w:t>
            </w:r>
          </w:p>
        </w:tc>
        <w:tc>
          <w:tcPr>
            <w:tcW w:w="3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20" w:type="dxa"/>
            <w:vAlign w:val="bottom"/>
            <w:tcBorders>
              <w:top w:val="single" w:sz="8" w:color="auto"/>
            </w:tcBorders>
            <w:gridSpan w:val="3"/>
          </w:tcPr>
          <w:p>
            <w:pPr>
              <w:ind w:left="20"/>
              <w:spacing w:after="0" w:line="129" w:lineRule="exact"/>
              <w:rPr>
                <w:sz w:val="20"/>
                <w:szCs w:val="20"/>
                <w:color w:val="auto"/>
              </w:rPr>
            </w:pPr>
            <w:r>
              <w:rPr>
                <w:rFonts w:ascii="Arial" w:cs="Arial" w:eastAsia="Arial" w:hAnsi="Arial"/>
                <w:sz w:val="14"/>
                <w:szCs w:val="14"/>
                <w:b w:val="1"/>
                <w:bCs w:val="1"/>
                <w:color w:val="auto"/>
              </w:rPr>
              <w:t>December 31,</w:t>
            </w:r>
          </w:p>
        </w:tc>
        <w:tc>
          <w:tcPr>
            <w:tcW w:w="26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gridSpan w:val="2"/>
          </w:tcPr>
          <w:p>
            <w:pPr>
              <w:spacing w:after="0" w:line="129" w:lineRule="exact"/>
              <w:rPr>
                <w:sz w:val="20"/>
                <w:szCs w:val="20"/>
                <w:color w:val="auto"/>
              </w:rPr>
            </w:pPr>
            <w:r>
              <w:rPr>
                <w:rFonts w:ascii="Arial" w:cs="Arial" w:eastAsia="Arial" w:hAnsi="Arial"/>
                <w:sz w:val="14"/>
                <w:szCs w:val="14"/>
                <w:b w:val="1"/>
                <w:bCs w:val="1"/>
                <w:color w:val="auto"/>
                <w:w w:val="86"/>
              </w:rPr>
              <w:t>January 1,</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6780" w:type="dxa"/>
            <w:vAlign w:val="bottom"/>
            <w:gridSpan w:val="2"/>
          </w:tcPr>
          <w:p>
            <w:pPr>
              <w:spacing w:after="0"/>
              <w:rPr>
                <w:sz w:val="20"/>
                <w:szCs w:val="20"/>
                <w:color w:val="auto"/>
              </w:rPr>
            </w:pPr>
            <w:r>
              <w:rPr>
                <w:rFonts w:ascii="Arial" w:cs="Arial" w:eastAsia="Arial" w:hAnsi="Arial"/>
                <w:sz w:val="14"/>
                <w:szCs w:val="14"/>
                <w:b w:val="1"/>
                <w:bCs w:val="1"/>
                <w:color w:val="auto"/>
              </w:rPr>
              <w:t>(In millions, except per common share amounts)</w:t>
            </w: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2010</w:t>
            </w:r>
          </w:p>
        </w:tc>
        <w:tc>
          <w:tcPr>
            <w:tcW w:w="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93"/>
              <w:spacing w:after="0"/>
              <w:rPr>
                <w:sz w:val="20"/>
                <w:szCs w:val="20"/>
                <w:color w:val="auto"/>
              </w:rPr>
            </w:pPr>
            <w:r>
              <w:rPr>
                <w:rFonts w:ascii="Arial" w:cs="Arial" w:eastAsia="Arial" w:hAnsi="Arial"/>
                <w:sz w:val="14"/>
                <w:szCs w:val="14"/>
                <w:b w:val="1"/>
                <w:bCs w:val="1"/>
                <w:color w:val="auto"/>
                <w:w w:val="96"/>
              </w:rPr>
              <w:t>2010</w:t>
            </w:r>
          </w:p>
        </w:tc>
        <w:tc>
          <w:tcPr>
            <w:tcW w:w="3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2010</w:t>
            </w:r>
          </w:p>
        </w:tc>
        <w:tc>
          <w:tcPr>
            <w:tcW w:w="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93"/>
              <w:spacing w:after="0"/>
              <w:rPr>
                <w:sz w:val="20"/>
                <w:szCs w:val="20"/>
                <w:color w:val="auto"/>
              </w:rPr>
            </w:pPr>
            <w:r>
              <w:rPr>
                <w:rFonts w:ascii="Arial" w:cs="Arial" w:eastAsia="Arial" w:hAnsi="Arial"/>
                <w:sz w:val="14"/>
                <w:szCs w:val="14"/>
                <w:b w:val="1"/>
                <w:bCs w:val="1"/>
                <w:color w:val="auto"/>
                <w:w w:val="96"/>
              </w:rPr>
              <w:t>2010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 from product sales and services:</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tcPr>
          <w:p>
            <w:pPr>
              <w:ind w:left="420"/>
              <w:spacing w:after="0"/>
              <w:rPr>
                <w:sz w:val="20"/>
                <w:szCs w:val="20"/>
                <w:color w:val="auto"/>
              </w:rPr>
            </w:pPr>
            <w:r>
              <w:rPr>
                <w:rFonts w:ascii="Arial" w:cs="Arial" w:eastAsia="Arial" w:hAnsi="Arial"/>
                <w:sz w:val="18"/>
                <w:szCs w:val="18"/>
                <w:color w:val="auto"/>
              </w:rPr>
              <w:t>Revenue from product sales</w:t>
            </w:r>
          </w:p>
        </w:tc>
        <w:tc>
          <w:tcPr>
            <w:tcW w:w="160" w:type="dxa"/>
            <w:vAlign w:val="bottom"/>
          </w:tcPr>
          <w:p>
            <w:pPr>
              <w:spacing w:after="0"/>
              <w:rPr>
                <w:sz w:val="20"/>
                <w:szCs w:val="20"/>
                <w:color w:val="auto"/>
              </w:rPr>
            </w:pPr>
            <w:r>
              <w:rPr>
                <w:rFonts w:ascii="Arial" w:cs="Arial" w:eastAsia="Arial" w:hAnsi="Arial"/>
                <w:sz w:val="18"/>
                <w:szCs w:val="18"/>
                <w:b w:val="1"/>
                <w:bCs w:val="1"/>
                <w:color w:val="auto"/>
              </w:rPr>
              <w:t>$</w:t>
            </w:r>
          </w:p>
        </w:tc>
        <w:tc>
          <w:tcPr>
            <w:tcW w:w="66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98.7</w:t>
            </w:r>
          </w:p>
        </w:tc>
        <w:tc>
          <w:tcPr>
            <w:tcW w:w="54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8"/>
                <w:szCs w:val="18"/>
                <w:b w:val="1"/>
                <w:bCs w:val="1"/>
                <w:color w:val="auto"/>
                <w:w w:val="99"/>
              </w:rPr>
              <w:t>$</w:t>
            </w: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rPr>
              <w:t>91.5</w:t>
            </w:r>
          </w:p>
        </w:tc>
        <w:tc>
          <w:tcPr>
            <w:tcW w:w="320" w:type="dxa"/>
            <w:vAlign w:val="bottom"/>
          </w:tcPr>
          <w:p>
            <w:pPr>
              <w:spacing w:after="0"/>
              <w:rPr>
                <w:sz w:val="18"/>
                <w:szCs w:val="18"/>
                <w:color w:val="auto"/>
              </w:rPr>
            </w:pPr>
          </w:p>
        </w:tc>
        <w:tc>
          <w:tcPr>
            <w:tcW w:w="420" w:type="dxa"/>
            <w:vAlign w:val="bottom"/>
            <w:gridSpan w:val="2"/>
          </w:tcPr>
          <w:p>
            <w:pPr>
              <w:ind w:left="240"/>
              <w:spacing w:after="0"/>
              <w:rPr>
                <w:sz w:val="20"/>
                <w:szCs w:val="20"/>
                <w:color w:val="auto"/>
              </w:rPr>
            </w:pPr>
            <w:r>
              <w:rPr>
                <w:rFonts w:ascii="Arial" w:cs="Arial" w:eastAsia="Arial" w:hAnsi="Arial"/>
                <w:sz w:val="18"/>
                <w:szCs w:val="18"/>
                <w:b w:val="1"/>
                <w:bCs w:val="1"/>
                <w:color w:val="auto"/>
              </w:rPr>
              <w:t>$</w:t>
            </w:r>
          </w:p>
        </w:tc>
        <w:tc>
          <w:tcPr>
            <w:tcW w:w="620" w:type="dxa"/>
            <w:vAlign w:val="bottom"/>
          </w:tcPr>
          <w:p>
            <w:pPr>
              <w:jc w:val="right"/>
              <w:spacing w:after="0"/>
              <w:rPr>
                <w:sz w:val="20"/>
                <w:szCs w:val="20"/>
                <w:color w:val="auto"/>
              </w:rPr>
            </w:pPr>
            <w:r>
              <w:rPr>
                <w:rFonts w:ascii="Arial" w:cs="Arial" w:eastAsia="Arial" w:hAnsi="Arial"/>
                <w:sz w:val="18"/>
                <w:szCs w:val="18"/>
                <w:b w:val="1"/>
                <w:bCs w:val="1"/>
                <w:color w:val="auto"/>
              </w:rPr>
              <w:t>187.9</w:t>
            </w:r>
          </w:p>
        </w:tc>
        <w:tc>
          <w:tcPr>
            <w:tcW w:w="320" w:type="dxa"/>
            <w:vAlign w:val="bottom"/>
          </w:tcPr>
          <w:p>
            <w:pPr>
              <w:spacing w:after="0"/>
              <w:rPr>
                <w:sz w:val="18"/>
                <w:szCs w:val="18"/>
                <w:color w:val="auto"/>
              </w:rPr>
            </w:pPr>
          </w:p>
        </w:tc>
        <w:tc>
          <w:tcPr>
            <w:tcW w:w="380" w:type="dxa"/>
            <w:vAlign w:val="bottom"/>
            <w:gridSpan w:val="2"/>
          </w:tcPr>
          <w:p>
            <w:pPr>
              <w:ind w:left="260"/>
              <w:spacing w:after="0"/>
              <w:rPr>
                <w:sz w:val="20"/>
                <w:szCs w:val="20"/>
                <w:color w:val="auto"/>
              </w:rPr>
            </w:pPr>
            <w:r>
              <w:rPr>
                <w:rFonts w:ascii="Arial" w:cs="Arial" w:eastAsia="Arial" w:hAnsi="Arial"/>
                <w:sz w:val="18"/>
                <w:szCs w:val="18"/>
                <w:b w:val="1"/>
                <w:bCs w:val="1"/>
                <w:color w:val="auto"/>
                <w:w w:val="99"/>
              </w:rPr>
              <w:t>$</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184.4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Revenue from services</w:t>
            </w: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25.5</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31.1</w:t>
            </w: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45.4</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58.2</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760" w:type="dxa"/>
            <w:vAlign w:val="bottom"/>
          </w:tcPr>
          <w:p>
            <w:pPr>
              <w:ind w:left="860"/>
              <w:spacing w:after="0"/>
              <w:rPr>
                <w:sz w:val="20"/>
                <w:szCs w:val="20"/>
                <w:color w:val="auto"/>
              </w:rPr>
            </w:pPr>
            <w:r>
              <w:rPr>
                <w:rFonts w:ascii="Arial" w:cs="Arial" w:eastAsia="Arial" w:hAnsi="Arial"/>
                <w:sz w:val="18"/>
                <w:szCs w:val="18"/>
                <w:color w:val="auto"/>
              </w:rPr>
              <w:t>Total revenue</w:t>
            </w:r>
          </w:p>
        </w:tc>
        <w:tc>
          <w:tcPr>
            <w:tcW w:w="16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124.2</w:t>
            </w:r>
          </w:p>
        </w:tc>
        <w:tc>
          <w:tcPr>
            <w:tcW w:w="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122.6</w:t>
            </w: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233.3</w:t>
            </w: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242.6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Cost of product sales and services:</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tcPr>
          <w:p>
            <w:pPr>
              <w:ind w:left="420"/>
              <w:spacing w:after="0"/>
              <w:rPr>
                <w:sz w:val="20"/>
                <w:szCs w:val="20"/>
                <w:color w:val="auto"/>
              </w:rPr>
            </w:pPr>
            <w:r>
              <w:rPr>
                <w:rFonts w:ascii="Arial" w:cs="Arial" w:eastAsia="Arial" w:hAnsi="Arial"/>
                <w:sz w:val="18"/>
                <w:szCs w:val="18"/>
                <w:color w:val="auto"/>
              </w:rPr>
              <w:t>Cost of product sales</w:t>
            </w:r>
          </w:p>
        </w:tc>
        <w:tc>
          <w:tcPr>
            <w:tcW w:w="16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70.5</w:t>
            </w: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rPr>
              <w:t>57.7</w:t>
            </w: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b w:val="1"/>
                <w:bCs w:val="1"/>
                <w:color w:val="auto"/>
              </w:rPr>
              <w:t>139.2</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117.7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Cost of services</w:t>
            </w: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16.9</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20.5</w:t>
            </w: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32.9</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40.7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760" w:type="dxa"/>
            <w:vAlign w:val="bottom"/>
          </w:tcPr>
          <w:p>
            <w:pPr>
              <w:ind w:left="420"/>
              <w:spacing w:after="0"/>
              <w:rPr>
                <w:sz w:val="20"/>
                <w:szCs w:val="20"/>
                <w:color w:val="auto"/>
              </w:rPr>
            </w:pPr>
            <w:r>
              <w:rPr>
                <w:rFonts w:ascii="Arial" w:cs="Arial" w:eastAsia="Arial" w:hAnsi="Arial"/>
                <w:sz w:val="18"/>
                <w:szCs w:val="18"/>
                <w:color w:val="auto"/>
              </w:rPr>
              <w:t>Amortization of purchased technology</w:t>
            </w: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0.1</w:t>
            </w:r>
          </w:p>
        </w:tc>
        <w:tc>
          <w:tcPr>
            <w:tcW w:w="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2.1</w:t>
            </w: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0.3</w:t>
            </w: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cost of product sales and services</w:t>
            </w: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87.5</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80.3</w:t>
            </w: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172.4</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162.6</w:t>
            </w:r>
          </w:p>
        </w:tc>
        <w:tc>
          <w:tcPr>
            <w:tcW w:w="0" w:type="dxa"/>
            <w:vAlign w:val="bottom"/>
          </w:tcPr>
          <w:p>
            <w:pPr>
              <w:spacing w:after="0"/>
              <w:rPr>
                <w:sz w:val="1"/>
                <w:szCs w:val="1"/>
                <w:color w:val="auto"/>
              </w:rPr>
            </w:pPr>
          </w:p>
        </w:tc>
      </w:tr>
      <w:tr>
        <w:trPr>
          <w:trHeight w:val="222"/>
        </w:trPr>
        <w:tc>
          <w:tcPr>
            <w:tcW w:w="6780" w:type="dxa"/>
            <w:vAlign w:val="bottom"/>
            <w:gridSpan w:val="2"/>
          </w:tcPr>
          <w:p>
            <w:pPr>
              <w:spacing w:after="0"/>
              <w:rPr>
                <w:sz w:val="20"/>
                <w:szCs w:val="20"/>
                <w:color w:val="auto"/>
              </w:rPr>
            </w:pPr>
            <w:r>
              <w:rPr>
                <w:rFonts w:ascii="Arial" w:cs="Arial" w:eastAsia="Arial" w:hAnsi="Arial"/>
                <w:sz w:val="18"/>
                <w:szCs w:val="18"/>
                <w:b w:val="1"/>
                <w:bCs w:val="1"/>
                <w:color w:val="auto"/>
              </w:rPr>
              <w:t>Gross margin</w:t>
            </w:r>
          </w:p>
        </w:tc>
        <w:tc>
          <w:tcPr>
            <w:tcW w:w="16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36.7</w:t>
            </w:r>
          </w:p>
        </w:tc>
        <w:tc>
          <w:tcPr>
            <w:tcW w:w="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42.3</w:t>
            </w: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60.9</w:t>
            </w: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80.0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expenses:</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tcPr>
          <w:p>
            <w:pPr>
              <w:ind w:left="420"/>
              <w:spacing w:after="0"/>
              <w:rPr>
                <w:sz w:val="20"/>
                <w:szCs w:val="20"/>
                <w:color w:val="auto"/>
              </w:rPr>
            </w:pPr>
            <w:r>
              <w:rPr>
                <w:rFonts w:ascii="Arial" w:cs="Arial" w:eastAsia="Arial" w:hAnsi="Arial"/>
                <w:sz w:val="18"/>
                <w:szCs w:val="18"/>
                <w:color w:val="auto"/>
              </w:rPr>
              <w:t>Research and development expenses</w:t>
            </w:r>
          </w:p>
        </w:tc>
        <w:tc>
          <w:tcPr>
            <w:tcW w:w="16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12.1</w:t>
            </w: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rPr>
              <w:t>10.1</w:t>
            </w: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b w:val="1"/>
                <w:bCs w:val="1"/>
                <w:color w:val="auto"/>
              </w:rPr>
              <w:t>23.2</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20.8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Selling and administrative expenses</w:t>
            </w: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26.5</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35.4</w:t>
            </w: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55.7</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66.2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tcPr>
          <w:p>
            <w:pPr>
              <w:ind w:left="420"/>
              <w:spacing w:after="0"/>
              <w:rPr>
                <w:sz w:val="20"/>
                <w:szCs w:val="20"/>
                <w:color w:val="auto"/>
              </w:rPr>
            </w:pPr>
            <w:r>
              <w:rPr>
                <w:rFonts w:ascii="Arial" w:cs="Arial" w:eastAsia="Arial" w:hAnsi="Arial"/>
                <w:sz w:val="18"/>
                <w:szCs w:val="18"/>
                <w:color w:val="auto"/>
              </w:rPr>
              <w:t>Amortization of identifiable intangible assets</w:t>
            </w:r>
          </w:p>
        </w:tc>
        <w:tc>
          <w:tcPr>
            <w:tcW w:w="16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0.7</w:t>
            </w: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rPr>
              <w:t>1.5</w:t>
            </w: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b w:val="1"/>
                <w:bCs w:val="1"/>
                <w:color w:val="auto"/>
              </w:rPr>
              <w:t>1.4</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Restructuring charges</w:t>
            </w: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3.4</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1.5</w:t>
            </w: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9.0</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2.6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760" w:type="dxa"/>
            <w:vAlign w:val="bottom"/>
          </w:tcPr>
          <w:p>
            <w:pPr>
              <w:ind w:left="860"/>
              <w:spacing w:after="0"/>
              <w:rPr>
                <w:sz w:val="20"/>
                <w:szCs w:val="20"/>
                <w:color w:val="auto"/>
              </w:rPr>
            </w:pPr>
            <w:r>
              <w:rPr>
                <w:rFonts w:ascii="Arial" w:cs="Arial" w:eastAsia="Arial" w:hAnsi="Arial"/>
                <w:sz w:val="18"/>
                <w:szCs w:val="18"/>
                <w:color w:val="auto"/>
              </w:rPr>
              <w:t>Total operating expenses</w:t>
            </w:r>
          </w:p>
        </w:tc>
        <w:tc>
          <w:tcPr>
            <w:tcW w:w="16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42.7</w:t>
            </w:r>
          </w:p>
        </w:tc>
        <w:tc>
          <w:tcPr>
            <w:tcW w:w="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48.5</w:t>
            </w:r>
          </w:p>
        </w:tc>
        <w:tc>
          <w:tcPr>
            <w:tcW w:w="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89.3</w:t>
            </w:r>
          </w:p>
        </w:tc>
        <w:tc>
          <w:tcPr>
            <w:tcW w:w="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92.6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loss</w:t>
            </w:r>
          </w:p>
        </w:tc>
        <w:tc>
          <w:tcPr>
            <w:tcW w:w="16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b w:val="1"/>
                <w:bCs w:val="1"/>
                <w:color w:val="auto"/>
              </w:rPr>
              <w:t>(6.0)</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(6.2)</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(28.4)</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(12.6)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tcPr>
          <w:p>
            <w:pPr>
              <w:spacing w:after="0"/>
              <w:rPr>
                <w:sz w:val="20"/>
                <w:szCs w:val="20"/>
                <w:color w:val="auto"/>
              </w:rPr>
            </w:pPr>
            <w:r>
              <w:rPr>
                <w:rFonts w:ascii="Arial" w:cs="Arial" w:eastAsia="Arial" w:hAnsi="Arial"/>
                <w:sz w:val="18"/>
                <w:szCs w:val="18"/>
                <w:color w:val="auto"/>
              </w:rPr>
              <w:t>Loss on sale of NetBoss assets</w:t>
            </w:r>
          </w:p>
        </w:tc>
        <w:tc>
          <w:tcPr>
            <w:tcW w:w="160" w:type="dxa"/>
            <w:vAlign w:val="bottom"/>
          </w:tcPr>
          <w:p>
            <w:pPr>
              <w:spacing w:after="0"/>
              <w:rPr>
                <w:sz w:val="18"/>
                <w:szCs w:val="18"/>
                <w:color w:val="auto"/>
              </w:rPr>
            </w:pPr>
          </w:p>
        </w:tc>
        <w:tc>
          <w:tcPr>
            <w:tcW w:w="1200" w:type="dxa"/>
            <w:vAlign w:val="bottom"/>
            <w:gridSpan w:val="3"/>
          </w:tcPr>
          <w:p>
            <w:pPr>
              <w:jc w:val="right"/>
              <w:ind w:right="520"/>
              <w:spacing w:after="0"/>
              <w:rPr>
                <w:sz w:val="20"/>
                <w:szCs w:val="20"/>
                <w:color w:val="auto"/>
              </w:rPr>
            </w:pPr>
            <w:r>
              <w:rPr>
                <w:rFonts w:ascii="Arial" w:cs="Arial" w:eastAsia="Arial" w:hAnsi="Arial"/>
                <w:sz w:val="18"/>
                <w:szCs w:val="18"/>
                <w:b w:val="1"/>
                <w:bCs w:val="1"/>
                <w:color w:val="auto"/>
              </w:rPr>
              <w:t>(0.5)</w:t>
            </w:r>
          </w:p>
        </w:tc>
        <w:tc>
          <w:tcPr>
            <w:tcW w:w="120" w:type="dxa"/>
            <w:vAlign w:val="bottom"/>
          </w:tcPr>
          <w:p>
            <w:pPr>
              <w:spacing w:after="0"/>
              <w:rPr>
                <w:sz w:val="18"/>
                <w:szCs w:val="18"/>
                <w:color w:val="auto"/>
              </w:rPr>
            </w:pPr>
          </w:p>
        </w:tc>
        <w:tc>
          <w:tcPr>
            <w:tcW w:w="82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(4.4)</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16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b w:val="1"/>
                <w:bCs w:val="1"/>
                <w:color w:val="auto"/>
              </w:rPr>
              <w:t>—</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0.1</w:t>
            </w: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0.1</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tcPr>
          <w:p>
            <w:pPr>
              <w:spacing w:after="0"/>
              <w:rPr>
                <w:sz w:val="20"/>
                <w:szCs w:val="20"/>
                <w:color w:val="auto"/>
              </w:rPr>
            </w:pPr>
            <w:r>
              <w:rPr>
                <w:rFonts w:ascii="Arial" w:cs="Arial" w:eastAsia="Arial" w:hAnsi="Arial"/>
                <w:sz w:val="18"/>
                <w:szCs w:val="18"/>
                <w:color w:val="auto"/>
              </w:rPr>
              <w:t>Interest expense</w:t>
            </w:r>
          </w:p>
        </w:tc>
        <w:tc>
          <w:tcPr>
            <w:tcW w:w="160" w:type="dxa"/>
            <w:vAlign w:val="bottom"/>
          </w:tcPr>
          <w:p>
            <w:pPr>
              <w:spacing w:after="0"/>
              <w:rPr>
                <w:sz w:val="18"/>
                <w:szCs w:val="18"/>
                <w:color w:val="auto"/>
              </w:rPr>
            </w:pPr>
          </w:p>
        </w:tc>
        <w:tc>
          <w:tcPr>
            <w:tcW w:w="1200" w:type="dxa"/>
            <w:vAlign w:val="bottom"/>
            <w:gridSpan w:val="3"/>
          </w:tcPr>
          <w:p>
            <w:pPr>
              <w:jc w:val="right"/>
              <w:ind w:right="520"/>
              <w:spacing w:after="0"/>
              <w:rPr>
                <w:sz w:val="20"/>
                <w:szCs w:val="20"/>
                <w:color w:val="auto"/>
              </w:rPr>
            </w:pPr>
            <w:r>
              <w:rPr>
                <w:rFonts w:ascii="Arial" w:cs="Arial" w:eastAsia="Arial" w:hAnsi="Arial"/>
                <w:sz w:val="18"/>
                <w:szCs w:val="18"/>
                <w:b w:val="1"/>
                <w:bCs w:val="1"/>
                <w:color w:val="auto"/>
              </w:rPr>
              <w:t>(0.7)</w:t>
            </w:r>
          </w:p>
        </w:tc>
        <w:tc>
          <w:tcPr>
            <w:tcW w:w="120" w:type="dxa"/>
            <w:vAlign w:val="bottom"/>
          </w:tcPr>
          <w:p>
            <w:pPr>
              <w:spacing w:after="0"/>
              <w:rPr>
                <w:sz w:val="18"/>
                <w:szCs w:val="18"/>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(0.4)</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(1.3)</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(0.9)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7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Loss before provision for income taxes</w:t>
            </w:r>
          </w:p>
        </w:tc>
        <w:tc>
          <w:tcPr>
            <w:tcW w:w="16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b w:val="1"/>
                <w:bCs w:val="1"/>
                <w:color w:val="auto"/>
              </w:rPr>
              <w:t>(7.2)</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(6.5)</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(34.0)</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(13.4)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tcPr>
          <w:p>
            <w:pPr>
              <w:spacing w:after="0"/>
              <w:rPr>
                <w:sz w:val="20"/>
                <w:szCs w:val="20"/>
                <w:color w:val="auto"/>
              </w:rPr>
            </w:pPr>
            <w:r>
              <w:rPr>
                <w:rFonts w:ascii="Arial" w:cs="Arial" w:eastAsia="Arial" w:hAnsi="Arial"/>
                <w:sz w:val="18"/>
                <w:szCs w:val="18"/>
                <w:color w:val="auto"/>
              </w:rPr>
              <w:t>Provision for (benefit from) income taxes</w:t>
            </w: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b w:val="1"/>
                <w:bCs w:val="1"/>
                <w:color w:val="auto"/>
              </w:rPr>
              <w:t>5.3</w:t>
            </w: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rPr>
              <w:t>1.4</w:t>
            </w: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(0.2)</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2.3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7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loss</w:t>
            </w:r>
          </w:p>
        </w:tc>
        <w:tc>
          <w:tcPr>
            <w:tcW w:w="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120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b w:val="1"/>
                <w:bCs w:val="1"/>
                <w:color w:val="auto"/>
              </w:rPr>
              <w:t>(12.5)</w:t>
            </w:r>
          </w:p>
        </w:tc>
        <w:tc>
          <w:tcPr>
            <w:tcW w:w="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9"/>
              </w:rPr>
              <w:t>$</w:t>
            </w: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(7.9)</w:t>
            </w:r>
          </w:p>
        </w:tc>
        <w:tc>
          <w:tcPr>
            <w:tcW w:w="420" w:type="dxa"/>
            <w:vAlign w:val="bottom"/>
            <w:gridSpan w:val="2"/>
            <w:shd w:val="clear" w:color="auto" w:fill="CCEEFF"/>
          </w:tcPr>
          <w:p>
            <w:pPr>
              <w:ind w:left="240"/>
              <w:spacing w:after="0"/>
              <w:rPr>
                <w:sz w:val="20"/>
                <w:szCs w:val="20"/>
                <w:color w:val="auto"/>
              </w:rPr>
            </w:pPr>
            <w:r>
              <w:rPr>
                <w:rFonts w:ascii="Arial" w:cs="Arial" w:eastAsia="Arial" w:hAnsi="Arial"/>
                <w:sz w:val="18"/>
                <w:szCs w:val="18"/>
                <w:b w:val="1"/>
                <w:bCs w:val="1"/>
                <w:color w:val="auto"/>
              </w:rPr>
              <w:t>$</w:t>
            </w: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(33.8)</w:t>
            </w:r>
          </w:p>
        </w:tc>
        <w:tc>
          <w:tcPr>
            <w:tcW w:w="380" w:type="dxa"/>
            <w:vAlign w:val="bottom"/>
            <w:gridSpan w:val="2"/>
            <w:shd w:val="clear" w:color="auto" w:fill="CCEEFF"/>
          </w:tcPr>
          <w:p>
            <w:pPr>
              <w:ind w:left="260"/>
              <w:spacing w:after="0"/>
              <w:rPr>
                <w:sz w:val="20"/>
                <w:szCs w:val="20"/>
                <w:color w:val="auto"/>
              </w:rPr>
            </w:pPr>
            <w:r>
              <w:rPr>
                <w:rFonts w:ascii="Arial" w:cs="Arial" w:eastAsia="Arial" w:hAnsi="Arial"/>
                <w:sz w:val="18"/>
                <w:szCs w:val="18"/>
                <w:b w:val="1"/>
                <w:bCs w:val="1"/>
                <w:color w:val="auto"/>
                <w:w w:val="99"/>
              </w:rPr>
              <w:t>$</w:t>
            </w: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(15.7)</w:t>
            </w:r>
          </w:p>
        </w:tc>
        <w:tc>
          <w:tcPr>
            <w:tcW w:w="0" w:type="dxa"/>
            <w:vAlign w:val="bottom"/>
          </w:tcPr>
          <w:p>
            <w:pPr>
              <w:spacing w:after="0"/>
              <w:rPr>
                <w:sz w:val="1"/>
                <w:szCs w:val="1"/>
                <w:color w:val="auto"/>
              </w:rPr>
            </w:pPr>
          </w:p>
        </w:tc>
      </w:tr>
      <w:tr>
        <w:trPr>
          <w:trHeight w:val="20"/>
        </w:trPr>
        <w:tc>
          <w:tcPr>
            <w:tcW w:w="67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Net loss per share of common stock</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678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Basic and diluted</w:t>
            </w:r>
          </w:p>
        </w:tc>
        <w:tc>
          <w:tcPr>
            <w:tcW w:w="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120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b w:val="1"/>
                <w:bCs w:val="1"/>
                <w:color w:val="auto"/>
              </w:rPr>
              <w:t>(0.21)</w:t>
            </w:r>
          </w:p>
        </w:tc>
        <w:tc>
          <w:tcPr>
            <w:tcW w:w="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9"/>
              </w:rPr>
              <w:t>$</w:t>
            </w: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(0.13)</w:t>
            </w:r>
          </w:p>
        </w:tc>
        <w:tc>
          <w:tcPr>
            <w:tcW w:w="420" w:type="dxa"/>
            <w:vAlign w:val="bottom"/>
            <w:gridSpan w:val="2"/>
            <w:shd w:val="clear" w:color="auto" w:fill="CCEEFF"/>
          </w:tcPr>
          <w:p>
            <w:pPr>
              <w:ind w:left="240"/>
              <w:spacing w:after="0"/>
              <w:rPr>
                <w:sz w:val="20"/>
                <w:szCs w:val="20"/>
                <w:color w:val="auto"/>
              </w:rPr>
            </w:pPr>
            <w:r>
              <w:rPr>
                <w:rFonts w:ascii="Arial" w:cs="Arial" w:eastAsia="Arial" w:hAnsi="Arial"/>
                <w:sz w:val="18"/>
                <w:szCs w:val="18"/>
                <w:b w:val="1"/>
                <w:bCs w:val="1"/>
                <w:color w:val="auto"/>
              </w:rPr>
              <w:t>$</w:t>
            </w: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(0.58)</w:t>
            </w:r>
          </w:p>
        </w:tc>
        <w:tc>
          <w:tcPr>
            <w:tcW w:w="380" w:type="dxa"/>
            <w:vAlign w:val="bottom"/>
            <w:gridSpan w:val="2"/>
            <w:shd w:val="clear" w:color="auto" w:fill="CCEEFF"/>
          </w:tcPr>
          <w:p>
            <w:pPr>
              <w:ind w:left="260"/>
              <w:spacing w:after="0"/>
              <w:rPr>
                <w:sz w:val="20"/>
                <w:szCs w:val="20"/>
                <w:color w:val="auto"/>
              </w:rPr>
            </w:pPr>
            <w:r>
              <w:rPr>
                <w:rFonts w:ascii="Arial" w:cs="Arial" w:eastAsia="Arial" w:hAnsi="Arial"/>
                <w:sz w:val="18"/>
                <w:szCs w:val="18"/>
                <w:b w:val="1"/>
                <w:bCs w:val="1"/>
                <w:color w:val="auto"/>
                <w:w w:val="99"/>
              </w:rPr>
              <w:t>$</w:t>
            </w: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(0.27)</w:t>
            </w:r>
          </w:p>
        </w:tc>
        <w:tc>
          <w:tcPr>
            <w:tcW w:w="0" w:type="dxa"/>
            <w:vAlign w:val="bottom"/>
          </w:tcPr>
          <w:p>
            <w:pPr>
              <w:spacing w:after="0"/>
              <w:rPr>
                <w:sz w:val="1"/>
                <w:szCs w:val="1"/>
                <w:color w:val="auto"/>
              </w:rPr>
            </w:pPr>
          </w:p>
        </w:tc>
      </w:tr>
      <w:tr>
        <w:trPr>
          <w:trHeight w:val="20"/>
        </w:trPr>
        <w:tc>
          <w:tcPr>
            <w:tcW w:w="6780" w:type="dxa"/>
            <w:vAlign w:val="bottom"/>
            <w:gridSpan w:val="2"/>
            <w:vMerge w:val="restart"/>
          </w:tcPr>
          <w:p>
            <w:pPr>
              <w:spacing w:after="0"/>
              <w:rPr>
                <w:sz w:val="20"/>
                <w:szCs w:val="20"/>
                <w:color w:val="auto"/>
              </w:rPr>
            </w:pPr>
            <w:r>
              <w:rPr>
                <w:rFonts w:ascii="Arial" w:cs="Arial" w:eastAsia="Arial" w:hAnsi="Arial"/>
                <w:sz w:val="18"/>
                <w:szCs w:val="18"/>
                <w:color w:val="auto"/>
              </w:rPr>
              <w:t>Basic and diluted weighted average shares outstanding</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780" w:type="dxa"/>
            <w:vAlign w:val="bottom"/>
            <w:gridSpan w:val="2"/>
            <w:vMerge w:val="continue"/>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58.4</w:t>
            </w:r>
          </w:p>
        </w:tc>
        <w:tc>
          <w:tcPr>
            <w:tcW w:w="20" w:type="dxa"/>
            <w:vAlign w:val="bottom"/>
            <w:tcBorders>
              <w:bottom w:val="single" w:sz="8" w:color="auto"/>
            </w:tcBorders>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59.3</w:t>
            </w: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58.4</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59.1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459"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AVIAT NETWORKS,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6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c>
          <w:tcPr>
            <w:tcW w:w="240" w:type="dxa"/>
            <w:vAlign w:val="bottom"/>
          </w:tcPr>
          <w:p>
            <w:pPr>
              <w:spacing w:after="0"/>
              <w:rPr>
                <w:sz w:val="14"/>
                <w:szCs w:val="14"/>
                <w:color w:val="auto"/>
              </w:rPr>
            </w:pPr>
          </w:p>
        </w:tc>
        <w:tc>
          <w:tcPr>
            <w:tcW w:w="660" w:type="dxa"/>
            <w:vAlign w:val="bottom"/>
            <w:gridSpan w:val="3"/>
          </w:tcPr>
          <w:p>
            <w:pPr>
              <w:jc w:val="right"/>
              <w:ind w:right="200"/>
              <w:spacing w:after="0"/>
              <w:rPr>
                <w:sz w:val="20"/>
                <w:szCs w:val="20"/>
                <w:color w:val="auto"/>
              </w:rPr>
            </w:pPr>
            <w:r>
              <w:rPr>
                <w:rFonts w:ascii="Arial" w:cs="Arial" w:eastAsia="Arial" w:hAnsi="Arial"/>
                <w:sz w:val="14"/>
                <w:szCs w:val="14"/>
                <w:b w:val="1"/>
                <w:bCs w:val="1"/>
                <w:color w:val="auto"/>
              </w:rPr>
              <w:t>July 2,</w:t>
            </w:r>
          </w:p>
        </w:tc>
        <w:tc>
          <w:tcPr>
            <w:tcW w:w="0" w:type="dxa"/>
            <w:vAlign w:val="bottom"/>
          </w:tcPr>
          <w:p>
            <w:pPr>
              <w:spacing w:after="0"/>
              <w:rPr>
                <w:sz w:val="1"/>
                <w:szCs w:val="1"/>
                <w:color w:val="auto"/>
              </w:rPr>
            </w:pPr>
          </w:p>
        </w:tc>
      </w:tr>
      <w:tr>
        <w:trPr>
          <w:trHeight w:val="161"/>
        </w:trPr>
        <w:tc>
          <w:tcPr>
            <w:tcW w:w="9440" w:type="dxa"/>
            <w:vAlign w:val="bottom"/>
          </w:tcPr>
          <w:p>
            <w:pPr>
              <w:spacing w:after="0"/>
              <w:rPr>
                <w:sz w:val="20"/>
                <w:szCs w:val="20"/>
                <w:color w:val="auto"/>
              </w:rPr>
            </w:pPr>
            <w:r>
              <w:rPr>
                <w:rFonts w:ascii="Arial" w:cs="Arial" w:eastAsia="Arial" w:hAnsi="Arial"/>
                <w:sz w:val="14"/>
                <w:szCs w:val="14"/>
                <w:b w:val="1"/>
                <w:bCs w:val="1"/>
                <w:color w:val="auto"/>
              </w:rPr>
              <w:t>(In millions, except share and per share amounts)</w:t>
            </w:r>
          </w:p>
        </w:tc>
        <w:tc>
          <w:tcPr>
            <w:tcW w:w="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2010</w:t>
            </w: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ind w:right="53"/>
              <w:spacing w:after="0"/>
              <w:rPr>
                <w:sz w:val="20"/>
                <w:szCs w:val="20"/>
                <w:color w:val="auto"/>
              </w:rPr>
            </w:pPr>
            <w:r>
              <w:rPr>
                <w:rFonts w:ascii="Arial" w:cs="Arial" w:eastAsia="Arial" w:hAnsi="Arial"/>
                <w:sz w:val="14"/>
                <w:szCs w:val="14"/>
                <w:b w:val="1"/>
                <w:bCs w:val="1"/>
                <w:color w:val="auto"/>
                <w:w w:val="96"/>
              </w:rPr>
              <w:t>2010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9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40" w:type="dxa"/>
            <w:vAlign w:val="bottom"/>
          </w:tcPr>
          <w:p>
            <w:pPr>
              <w:ind w:left="440"/>
              <w:spacing w:after="0"/>
              <w:rPr>
                <w:sz w:val="20"/>
                <w:szCs w:val="20"/>
                <w:color w:val="auto"/>
              </w:rPr>
            </w:pPr>
            <w:r>
              <w:rPr>
                <w:rFonts w:ascii="Arial" w:cs="Arial" w:eastAsia="Arial" w:hAnsi="Arial"/>
                <w:sz w:val="18"/>
                <w:szCs w:val="18"/>
                <w:i w:val="1"/>
                <w:iCs w:val="1"/>
                <w:color w:val="auto"/>
              </w:rPr>
              <w:t>Current Assets</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40" w:type="dxa"/>
            <w:vAlign w:val="bottom"/>
            <w:shd w:val="clear" w:color="auto" w:fill="CCEEFF"/>
          </w:tcPr>
          <w:p>
            <w:pPr>
              <w:ind w:left="880"/>
              <w:spacing w:after="0"/>
              <w:rPr>
                <w:sz w:val="20"/>
                <w:szCs w:val="20"/>
                <w:color w:val="auto"/>
              </w:rPr>
            </w:pPr>
            <w:r>
              <w:rPr>
                <w:rFonts w:ascii="Arial" w:cs="Arial" w:eastAsia="Arial" w:hAnsi="Arial"/>
                <w:sz w:val="18"/>
                <w:szCs w:val="18"/>
                <w:color w:val="auto"/>
              </w:rPr>
              <w:t>Cash and cash equivalents</w:t>
            </w:r>
          </w:p>
        </w:tc>
        <w:tc>
          <w:tcPr>
            <w:tcW w:w="1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102.4</w:t>
            </w:r>
          </w:p>
        </w:tc>
        <w:tc>
          <w:tcPr>
            <w:tcW w:w="28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w w:val="97"/>
              </w:rPr>
              <w:t>141.7</w:t>
            </w:r>
          </w:p>
        </w:tc>
        <w:tc>
          <w:tcPr>
            <w:tcW w:w="0" w:type="dxa"/>
            <w:vAlign w:val="bottom"/>
          </w:tcPr>
          <w:p>
            <w:pPr>
              <w:spacing w:after="0"/>
              <w:rPr>
                <w:sz w:val="1"/>
                <w:szCs w:val="1"/>
                <w:color w:val="auto"/>
              </w:rPr>
            </w:pPr>
          </w:p>
        </w:tc>
      </w:tr>
      <w:tr>
        <w:trPr>
          <w:trHeight w:val="216"/>
        </w:trPr>
        <w:tc>
          <w:tcPr>
            <w:tcW w:w="9440" w:type="dxa"/>
            <w:vAlign w:val="bottom"/>
          </w:tcPr>
          <w:p>
            <w:pPr>
              <w:ind w:left="880"/>
              <w:spacing w:after="0"/>
              <w:rPr>
                <w:sz w:val="20"/>
                <w:szCs w:val="20"/>
                <w:color w:val="auto"/>
              </w:rPr>
            </w:pPr>
            <w:r>
              <w:rPr>
                <w:rFonts w:ascii="Arial" w:cs="Arial" w:eastAsia="Arial" w:hAnsi="Arial"/>
                <w:sz w:val="18"/>
                <w:szCs w:val="18"/>
                <w:color w:val="auto"/>
              </w:rPr>
              <w:t>Receivables</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b w:val="1"/>
                <w:bCs w:val="1"/>
                <w:color w:val="auto"/>
              </w:rPr>
              <w:t>146.4</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w w:val="97"/>
              </w:rPr>
              <w:t>104.8</w:t>
            </w:r>
          </w:p>
        </w:tc>
        <w:tc>
          <w:tcPr>
            <w:tcW w:w="0" w:type="dxa"/>
            <w:vAlign w:val="bottom"/>
          </w:tcPr>
          <w:p>
            <w:pPr>
              <w:spacing w:after="0"/>
              <w:rPr>
                <w:sz w:val="1"/>
                <w:szCs w:val="1"/>
                <w:color w:val="auto"/>
              </w:rPr>
            </w:pPr>
          </w:p>
        </w:tc>
      </w:tr>
      <w:tr>
        <w:trPr>
          <w:trHeight w:val="216"/>
        </w:trPr>
        <w:tc>
          <w:tcPr>
            <w:tcW w:w="9440" w:type="dxa"/>
            <w:vAlign w:val="bottom"/>
            <w:shd w:val="clear" w:color="auto" w:fill="CCEEFF"/>
          </w:tcPr>
          <w:p>
            <w:pPr>
              <w:ind w:left="880"/>
              <w:spacing w:after="0"/>
              <w:rPr>
                <w:sz w:val="20"/>
                <w:szCs w:val="20"/>
                <w:color w:val="auto"/>
              </w:rPr>
            </w:pPr>
            <w:r>
              <w:rPr>
                <w:rFonts w:ascii="Arial" w:cs="Arial" w:eastAsia="Arial" w:hAnsi="Arial"/>
                <w:sz w:val="18"/>
                <w:szCs w:val="18"/>
                <w:color w:val="auto"/>
              </w:rPr>
              <w:t>Unbilled costs</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30.9</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30.2</w:t>
            </w:r>
          </w:p>
        </w:tc>
        <w:tc>
          <w:tcPr>
            <w:tcW w:w="0" w:type="dxa"/>
            <w:vAlign w:val="bottom"/>
          </w:tcPr>
          <w:p>
            <w:pPr>
              <w:spacing w:after="0"/>
              <w:rPr>
                <w:sz w:val="1"/>
                <w:szCs w:val="1"/>
                <w:color w:val="auto"/>
              </w:rPr>
            </w:pPr>
          </w:p>
        </w:tc>
      </w:tr>
      <w:tr>
        <w:trPr>
          <w:trHeight w:val="216"/>
        </w:trPr>
        <w:tc>
          <w:tcPr>
            <w:tcW w:w="9440" w:type="dxa"/>
            <w:vAlign w:val="bottom"/>
          </w:tcPr>
          <w:p>
            <w:pPr>
              <w:ind w:left="880"/>
              <w:spacing w:after="0"/>
              <w:rPr>
                <w:sz w:val="20"/>
                <w:szCs w:val="20"/>
                <w:color w:val="auto"/>
              </w:rPr>
            </w:pPr>
            <w:r>
              <w:rPr>
                <w:rFonts w:ascii="Arial" w:cs="Arial" w:eastAsia="Arial" w:hAnsi="Arial"/>
                <w:sz w:val="18"/>
                <w:szCs w:val="18"/>
                <w:color w:val="auto"/>
              </w:rPr>
              <w:t>Inventories</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b w:val="1"/>
                <w:bCs w:val="1"/>
                <w:color w:val="auto"/>
              </w:rPr>
              <w:t>72.3</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73.5</w:t>
            </w:r>
          </w:p>
        </w:tc>
        <w:tc>
          <w:tcPr>
            <w:tcW w:w="0" w:type="dxa"/>
            <w:vAlign w:val="bottom"/>
          </w:tcPr>
          <w:p>
            <w:pPr>
              <w:spacing w:after="0"/>
              <w:rPr>
                <w:sz w:val="1"/>
                <w:szCs w:val="1"/>
                <w:color w:val="auto"/>
              </w:rPr>
            </w:pPr>
          </w:p>
        </w:tc>
      </w:tr>
      <w:tr>
        <w:trPr>
          <w:trHeight w:val="216"/>
        </w:trPr>
        <w:tc>
          <w:tcPr>
            <w:tcW w:w="9440" w:type="dxa"/>
            <w:vAlign w:val="bottom"/>
            <w:shd w:val="clear" w:color="auto" w:fill="CCEEFF"/>
          </w:tcPr>
          <w:p>
            <w:pPr>
              <w:ind w:left="880"/>
              <w:spacing w:after="0"/>
              <w:rPr>
                <w:sz w:val="20"/>
                <w:szCs w:val="20"/>
                <w:color w:val="auto"/>
              </w:rPr>
            </w:pPr>
            <w:r>
              <w:rPr>
                <w:rFonts w:ascii="Arial" w:cs="Arial" w:eastAsia="Arial" w:hAnsi="Arial"/>
                <w:sz w:val="18"/>
                <w:szCs w:val="18"/>
                <w:color w:val="auto"/>
              </w:rPr>
              <w:t>Other current assets</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28.1</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22.3</w:t>
            </w:r>
          </w:p>
        </w:tc>
        <w:tc>
          <w:tcPr>
            <w:tcW w:w="0" w:type="dxa"/>
            <w:vAlign w:val="bottom"/>
          </w:tcPr>
          <w:p>
            <w:pPr>
              <w:spacing w:after="0"/>
              <w:rPr>
                <w:sz w:val="1"/>
                <w:szCs w:val="1"/>
                <w:color w:val="auto"/>
              </w:rPr>
            </w:pPr>
          </w:p>
        </w:tc>
      </w:tr>
      <w:tr>
        <w:trPr>
          <w:trHeight w:val="223"/>
        </w:trPr>
        <w:tc>
          <w:tcPr>
            <w:tcW w:w="9440" w:type="dxa"/>
            <w:vAlign w:val="bottom"/>
          </w:tcPr>
          <w:p>
            <w:pPr>
              <w:ind w:left="1300"/>
              <w:spacing w:after="0"/>
              <w:rPr>
                <w:sz w:val="20"/>
                <w:szCs w:val="20"/>
                <w:color w:val="auto"/>
              </w:rPr>
            </w:pPr>
            <w:r>
              <w:rPr>
                <w:rFonts w:ascii="Arial" w:cs="Arial" w:eastAsia="Arial" w:hAnsi="Arial"/>
                <w:sz w:val="18"/>
                <w:szCs w:val="18"/>
                <w:color w:val="auto"/>
              </w:rPr>
              <w:t>Total current assets</w:t>
            </w:r>
          </w:p>
        </w:tc>
        <w:tc>
          <w:tcPr>
            <w:tcW w:w="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380.1</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7"/>
              </w:rPr>
              <w:t>372.5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9440" w:type="dxa"/>
            <w:vAlign w:val="bottom"/>
            <w:shd w:val="clear" w:color="auto" w:fill="CCEEFF"/>
          </w:tcPr>
          <w:p>
            <w:pPr>
              <w:ind w:left="440"/>
              <w:spacing w:after="0"/>
              <w:rPr>
                <w:sz w:val="20"/>
                <w:szCs w:val="20"/>
                <w:color w:val="auto"/>
              </w:rPr>
            </w:pPr>
            <w:r>
              <w:rPr>
                <w:rFonts w:ascii="Arial" w:cs="Arial" w:eastAsia="Arial" w:hAnsi="Arial"/>
                <w:sz w:val="18"/>
                <w:szCs w:val="18"/>
                <w:i w:val="1"/>
                <w:iCs w:val="1"/>
                <w:color w:val="auto"/>
              </w:rPr>
              <w:t>Long-Term Assets</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40" w:type="dxa"/>
            <w:vAlign w:val="bottom"/>
          </w:tcPr>
          <w:p>
            <w:pPr>
              <w:ind w:left="880"/>
              <w:spacing w:after="0"/>
              <w:rPr>
                <w:sz w:val="20"/>
                <w:szCs w:val="20"/>
                <w:color w:val="auto"/>
              </w:rPr>
            </w:pPr>
            <w:r>
              <w:rPr>
                <w:rFonts w:ascii="Arial" w:cs="Arial" w:eastAsia="Arial" w:hAnsi="Arial"/>
                <w:sz w:val="18"/>
                <w:szCs w:val="18"/>
                <w:color w:val="auto"/>
              </w:rPr>
              <w:t>Property, plant and equipment, net</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b w:val="1"/>
                <w:bCs w:val="1"/>
                <w:color w:val="auto"/>
              </w:rPr>
              <w:t>36.9</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37.6</w:t>
            </w:r>
          </w:p>
        </w:tc>
        <w:tc>
          <w:tcPr>
            <w:tcW w:w="0" w:type="dxa"/>
            <w:vAlign w:val="bottom"/>
          </w:tcPr>
          <w:p>
            <w:pPr>
              <w:spacing w:after="0"/>
              <w:rPr>
                <w:sz w:val="1"/>
                <w:szCs w:val="1"/>
                <w:color w:val="auto"/>
              </w:rPr>
            </w:pPr>
          </w:p>
        </w:tc>
      </w:tr>
      <w:tr>
        <w:trPr>
          <w:trHeight w:val="216"/>
        </w:trPr>
        <w:tc>
          <w:tcPr>
            <w:tcW w:w="9440" w:type="dxa"/>
            <w:vAlign w:val="bottom"/>
            <w:shd w:val="clear" w:color="auto" w:fill="CCEEFF"/>
          </w:tcPr>
          <w:p>
            <w:pPr>
              <w:ind w:left="880"/>
              <w:spacing w:after="0"/>
              <w:rPr>
                <w:sz w:val="20"/>
                <w:szCs w:val="20"/>
                <w:color w:val="auto"/>
              </w:rPr>
            </w:pPr>
            <w:r>
              <w:rPr>
                <w:rFonts w:ascii="Arial" w:cs="Arial" w:eastAsia="Arial" w:hAnsi="Arial"/>
                <w:sz w:val="18"/>
                <w:szCs w:val="18"/>
                <w:color w:val="auto"/>
              </w:rPr>
              <w:t>Goodwill</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6.2</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6.2</w:t>
            </w:r>
          </w:p>
        </w:tc>
        <w:tc>
          <w:tcPr>
            <w:tcW w:w="0" w:type="dxa"/>
            <w:vAlign w:val="bottom"/>
          </w:tcPr>
          <w:p>
            <w:pPr>
              <w:spacing w:after="0"/>
              <w:rPr>
                <w:sz w:val="1"/>
                <w:szCs w:val="1"/>
                <w:color w:val="auto"/>
              </w:rPr>
            </w:pPr>
          </w:p>
        </w:tc>
      </w:tr>
      <w:tr>
        <w:trPr>
          <w:trHeight w:val="216"/>
        </w:trPr>
        <w:tc>
          <w:tcPr>
            <w:tcW w:w="9440" w:type="dxa"/>
            <w:vAlign w:val="bottom"/>
          </w:tcPr>
          <w:p>
            <w:pPr>
              <w:ind w:left="880"/>
              <w:spacing w:after="0"/>
              <w:rPr>
                <w:sz w:val="20"/>
                <w:szCs w:val="20"/>
                <w:color w:val="auto"/>
              </w:rPr>
            </w:pPr>
            <w:r>
              <w:rPr>
                <w:rFonts w:ascii="Arial" w:cs="Arial" w:eastAsia="Arial" w:hAnsi="Arial"/>
                <w:sz w:val="18"/>
                <w:szCs w:val="18"/>
                <w:color w:val="auto"/>
              </w:rPr>
              <w:t>Identifiable intangible assets, net</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b w:val="1"/>
                <w:bCs w:val="1"/>
                <w:color w:val="auto"/>
              </w:rPr>
              <w:t>5.8</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7.5</w:t>
            </w:r>
          </w:p>
        </w:tc>
        <w:tc>
          <w:tcPr>
            <w:tcW w:w="0" w:type="dxa"/>
            <w:vAlign w:val="bottom"/>
          </w:tcPr>
          <w:p>
            <w:pPr>
              <w:spacing w:after="0"/>
              <w:rPr>
                <w:sz w:val="1"/>
                <w:szCs w:val="1"/>
                <w:color w:val="auto"/>
              </w:rPr>
            </w:pPr>
          </w:p>
        </w:tc>
      </w:tr>
      <w:tr>
        <w:trPr>
          <w:trHeight w:val="216"/>
        </w:trPr>
        <w:tc>
          <w:tcPr>
            <w:tcW w:w="9440" w:type="dxa"/>
            <w:vAlign w:val="bottom"/>
            <w:shd w:val="clear" w:color="auto" w:fill="CCEEFF"/>
          </w:tcPr>
          <w:p>
            <w:pPr>
              <w:ind w:left="880"/>
              <w:spacing w:after="0"/>
              <w:rPr>
                <w:sz w:val="20"/>
                <w:szCs w:val="20"/>
                <w:color w:val="auto"/>
              </w:rPr>
            </w:pPr>
            <w:r>
              <w:rPr>
                <w:rFonts w:ascii="Arial" w:cs="Arial" w:eastAsia="Arial" w:hAnsi="Arial"/>
                <w:sz w:val="18"/>
                <w:szCs w:val="18"/>
                <w:color w:val="auto"/>
              </w:rPr>
              <w:t>Deferred income taxes</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21.1</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13.1</w:t>
            </w:r>
          </w:p>
        </w:tc>
        <w:tc>
          <w:tcPr>
            <w:tcW w:w="0" w:type="dxa"/>
            <w:vAlign w:val="bottom"/>
          </w:tcPr>
          <w:p>
            <w:pPr>
              <w:spacing w:after="0"/>
              <w:rPr>
                <w:sz w:val="1"/>
                <w:szCs w:val="1"/>
                <w:color w:val="auto"/>
              </w:rPr>
            </w:pPr>
          </w:p>
        </w:tc>
      </w:tr>
      <w:tr>
        <w:trPr>
          <w:trHeight w:val="223"/>
        </w:trPr>
        <w:tc>
          <w:tcPr>
            <w:tcW w:w="9440" w:type="dxa"/>
            <w:vAlign w:val="bottom"/>
          </w:tcPr>
          <w:p>
            <w:pPr>
              <w:ind w:left="880"/>
              <w:spacing w:after="0"/>
              <w:rPr>
                <w:sz w:val="20"/>
                <w:szCs w:val="20"/>
                <w:color w:val="auto"/>
              </w:rPr>
            </w:pPr>
            <w:r>
              <w:rPr>
                <w:rFonts w:ascii="Arial" w:cs="Arial" w:eastAsia="Arial" w:hAnsi="Arial"/>
                <w:sz w:val="18"/>
                <w:szCs w:val="18"/>
                <w:color w:val="auto"/>
              </w:rPr>
              <w:t>Other assets</w:t>
            </w:r>
          </w:p>
        </w:tc>
        <w:tc>
          <w:tcPr>
            <w:tcW w:w="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1.8</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440" w:type="dxa"/>
            <w:vAlign w:val="bottom"/>
            <w:shd w:val="clear" w:color="auto" w:fill="CCEEFF"/>
          </w:tcPr>
          <w:p>
            <w:pPr>
              <w:ind w:left="1300"/>
              <w:spacing w:after="0"/>
              <w:rPr>
                <w:sz w:val="20"/>
                <w:szCs w:val="20"/>
                <w:color w:val="auto"/>
              </w:rPr>
            </w:pPr>
            <w:r>
              <w:rPr>
                <w:rFonts w:ascii="Arial" w:cs="Arial" w:eastAsia="Arial" w:hAnsi="Arial"/>
                <w:sz w:val="18"/>
                <w:szCs w:val="18"/>
                <w:color w:val="auto"/>
              </w:rPr>
              <w:t>Total long-term assets</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71.8</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74.5</w:t>
            </w:r>
          </w:p>
        </w:tc>
        <w:tc>
          <w:tcPr>
            <w:tcW w:w="0" w:type="dxa"/>
            <w:vAlign w:val="bottom"/>
          </w:tcPr>
          <w:p>
            <w:pPr>
              <w:spacing w:after="0"/>
              <w:rPr>
                <w:sz w:val="1"/>
                <w:szCs w:val="1"/>
                <w:color w:val="auto"/>
              </w:rPr>
            </w:pPr>
          </w:p>
        </w:tc>
      </w:tr>
      <w:tr>
        <w:trPr>
          <w:trHeight w:val="223"/>
        </w:trPr>
        <w:tc>
          <w:tcPr>
            <w:tcW w:w="9440" w:type="dxa"/>
            <w:vAlign w:val="bottom"/>
          </w:tcPr>
          <w:p>
            <w:pPr>
              <w:ind w:left="880"/>
              <w:spacing w:after="0"/>
              <w:rPr>
                <w:sz w:val="20"/>
                <w:szCs w:val="20"/>
                <w:color w:val="auto"/>
              </w:rPr>
            </w:pPr>
            <w:r>
              <w:rPr>
                <w:rFonts w:ascii="Arial" w:cs="Arial" w:eastAsia="Arial" w:hAnsi="Arial"/>
                <w:sz w:val="18"/>
                <w:szCs w:val="18"/>
                <w:color w:val="auto"/>
              </w:rPr>
              <w:t>Total assets</w:t>
            </w:r>
          </w:p>
        </w:tc>
        <w:tc>
          <w:tcPr>
            <w:tcW w:w="2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451.9</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7"/>
              </w:rPr>
              <w:t>447.0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9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40" w:type="dxa"/>
            <w:vAlign w:val="bottom"/>
          </w:tcPr>
          <w:p>
            <w:pPr>
              <w:ind w:left="440"/>
              <w:spacing w:after="0"/>
              <w:rPr>
                <w:sz w:val="20"/>
                <w:szCs w:val="20"/>
                <w:color w:val="auto"/>
              </w:rPr>
            </w:pPr>
            <w:r>
              <w:rPr>
                <w:rFonts w:ascii="Arial" w:cs="Arial" w:eastAsia="Arial" w:hAnsi="Arial"/>
                <w:sz w:val="18"/>
                <w:szCs w:val="18"/>
                <w:i w:val="1"/>
                <w:iCs w:val="1"/>
                <w:color w:val="auto"/>
              </w:rPr>
              <w:t>Current Liabilities</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40" w:type="dxa"/>
            <w:vAlign w:val="bottom"/>
            <w:shd w:val="clear" w:color="auto" w:fill="CCEEFF"/>
          </w:tcPr>
          <w:p>
            <w:pPr>
              <w:ind w:left="880"/>
              <w:spacing w:after="0"/>
              <w:rPr>
                <w:sz w:val="20"/>
                <w:szCs w:val="20"/>
                <w:color w:val="auto"/>
              </w:rPr>
            </w:pPr>
            <w:r>
              <w:rPr>
                <w:rFonts w:ascii="Arial" w:cs="Arial" w:eastAsia="Arial" w:hAnsi="Arial"/>
                <w:sz w:val="18"/>
                <w:szCs w:val="18"/>
                <w:color w:val="auto"/>
              </w:rPr>
              <w:t>Short-term debt</w:t>
            </w:r>
          </w:p>
        </w:tc>
        <w:tc>
          <w:tcPr>
            <w:tcW w:w="1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6.0</w:t>
            </w:r>
          </w:p>
        </w:tc>
        <w:tc>
          <w:tcPr>
            <w:tcW w:w="28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5.0</w:t>
            </w:r>
          </w:p>
        </w:tc>
        <w:tc>
          <w:tcPr>
            <w:tcW w:w="0" w:type="dxa"/>
            <w:vAlign w:val="bottom"/>
          </w:tcPr>
          <w:p>
            <w:pPr>
              <w:spacing w:after="0"/>
              <w:rPr>
                <w:sz w:val="1"/>
                <w:szCs w:val="1"/>
                <w:color w:val="auto"/>
              </w:rPr>
            </w:pPr>
          </w:p>
        </w:tc>
      </w:tr>
      <w:tr>
        <w:trPr>
          <w:trHeight w:val="216"/>
        </w:trPr>
        <w:tc>
          <w:tcPr>
            <w:tcW w:w="9440" w:type="dxa"/>
            <w:vAlign w:val="bottom"/>
          </w:tcPr>
          <w:p>
            <w:pPr>
              <w:ind w:left="880"/>
              <w:spacing w:after="0"/>
              <w:rPr>
                <w:sz w:val="20"/>
                <w:szCs w:val="20"/>
                <w:color w:val="auto"/>
              </w:rPr>
            </w:pPr>
            <w:r>
              <w:rPr>
                <w:rFonts w:ascii="Arial" w:cs="Arial" w:eastAsia="Arial" w:hAnsi="Arial"/>
                <w:sz w:val="18"/>
                <w:szCs w:val="18"/>
                <w:color w:val="auto"/>
              </w:rPr>
              <w:t>Accounts payable</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b w:val="1"/>
                <w:bCs w:val="1"/>
                <w:color w:val="auto"/>
              </w:rPr>
              <w:t>73.8</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58.6</w:t>
            </w:r>
          </w:p>
        </w:tc>
        <w:tc>
          <w:tcPr>
            <w:tcW w:w="0" w:type="dxa"/>
            <w:vAlign w:val="bottom"/>
          </w:tcPr>
          <w:p>
            <w:pPr>
              <w:spacing w:after="0"/>
              <w:rPr>
                <w:sz w:val="1"/>
                <w:szCs w:val="1"/>
                <w:color w:val="auto"/>
              </w:rPr>
            </w:pPr>
          </w:p>
        </w:tc>
      </w:tr>
      <w:tr>
        <w:trPr>
          <w:trHeight w:val="216"/>
        </w:trPr>
        <w:tc>
          <w:tcPr>
            <w:tcW w:w="9440" w:type="dxa"/>
            <w:vAlign w:val="bottom"/>
            <w:shd w:val="clear" w:color="auto" w:fill="CCEEFF"/>
          </w:tcPr>
          <w:p>
            <w:pPr>
              <w:ind w:left="880"/>
              <w:spacing w:after="0"/>
              <w:rPr>
                <w:sz w:val="20"/>
                <w:szCs w:val="20"/>
                <w:color w:val="auto"/>
              </w:rPr>
            </w:pPr>
            <w:r>
              <w:rPr>
                <w:rFonts w:ascii="Arial" w:cs="Arial" w:eastAsia="Arial" w:hAnsi="Arial"/>
                <w:sz w:val="18"/>
                <w:szCs w:val="18"/>
                <w:color w:val="auto"/>
              </w:rPr>
              <w:t>Accrued compensation and benefits</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12.6</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14.5</w:t>
            </w:r>
          </w:p>
        </w:tc>
        <w:tc>
          <w:tcPr>
            <w:tcW w:w="0" w:type="dxa"/>
            <w:vAlign w:val="bottom"/>
          </w:tcPr>
          <w:p>
            <w:pPr>
              <w:spacing w:after="0"/>
              <w:rPr>
                <w:sz w:val="1"/>
                <w:szCs w:val="1"/>
                <w:color w:val="auto"/>
              </w:rPr>
            </w:pPr>
          </w:p>
        </w:tc>
      </w:tr>
      <w:tr>
        <w:trPr>
          <w:trHeight w:val="216"/>
        </w:trPr>
        <w:tc>
          <w:tcPr>
            <w:tcW w:w="9440" w:type="dxa"/>
            <w:vAlign w:val="bottom"/>
          </w:tcPr>
          <w:p>
            <w:pPr>
              <w:ind w:left="880"/>
              <w:spacing w:after="0"/>
              <w:rPr>
                <w:sz w:val="20"/>
                <w:szCs w:val="20"/>
                <w:color w:val="auto"/>
              </w:rPr>
            </w:pPr>
            <w:r>
              <w:rPr>
                <w:rFonts w:ascii="Arial" w:cs="Arial" w:eastAsia="Arial" w:hAnsi="Arial"/>
                <w:sz w:val="18"/>
                <w:szCs w:val="18"/>
                <w:color w:val="auto"/>
              </w:rPr>
              <w:t>Other accrued expenses</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b w:val="1"/>
                <w:bCs w:val="1"/>
                <w:color w:val="auto"/>
              </w:rPr>
              <w:t>62.0</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45.3</w:t>
            </w:r>
          </w:p>
        </w:tc>
        <w:tc>
          <w:tcPr>
            <w:tcW w:w="0" w:type="dxa"/>
            <w:vAlign w:val="bottom"/>
          </w:tcPr>
          <w:p>
            <w:pPr>
              <w:spacing w:after="0"/>
              <w:rPr>
                <w:sz w:val="1"/>
                <w:szCs w:val="1"/>
                <w:color w:val="auto"/>
              </w:rPr>
            </w:pPr>
          </w:p>
        </w:tc>
      </w:tr>
      <w:tr>
        <w:trPr>
          <w:trHeight w:val="216"/>
        </w:trPr>
        <w:tc>
          <w:tcPr>
            <w:tcW w:w="9440" w:type="dxa"/>
            <w:vAlign w:val="bottom"/>
            <w:shd w:val="clear" w:color="auto" w:fill="CCEEFF"/>
          </w:tcPr>
          <w:p>
            <w:pPr>
              <w:ind w:left="880"/>
              <w:spacing w:after="0"/>
              <w:rPr>
                <w:sz w:val="20"/>
                <w:szCs w:val="20"/>
                <w:color w:val="auto"/>
              </w:rPr>
            </w:pPr>
            <w:r>
              <w:rPr>
                <w:rFonts w:ascii="Arial" w:cs="Arial" w:eastAsia="Arial" w:hAnsi="Arial"/>
                <w:sz w:val="18"/>
                <w:szCs w:val="18"/>
                <w:color w:val="auto"/>
              </w:rPr>
              <w:t>Advance payments and unearned income</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40.9</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37.2</w:t>
            </w:r>
          </w:p>
        </w:tc>
        <w:tc>
          <w:tcPr>
            <w:tcW w:w="0" w:type="dxa"/>
            <w:vAlign w:val="bottom"/>
          </w:tcPr>
          <w:p>
            <w:pPr>
              <w:spacing w:after="0"/>
              <w:rPr>
                <w:sz w:val="1"/>
                <w:szCs w:val="1"/>
                <w:color w:val="auto"/>
              </w:rPr>
            </w:pPr>
          </w:p>
        </w:tc>
      </w:tr>
      <w:tr>
        <w:trPr>
          <w:trHeight w:val="223"/>
        </w:trPr>
        <w:tc>
          <w:tcPr>
            <w:tcW w:w="9440" w:type="dxa"/>
            <w:vAlign w:val="bottom"/>
          </w:tcPr>
          <w:p>
            <w:pPr>
              <w:ind w:left="880"/>
              <w:spacing w:after="0"/>
              <w:rPr>
                <w:sz w:val="20"/>
                <w:szCs w:val="20"/>
                <w:color w:val="auto"/>
              </w:rPr>
            </w:pPr>
            <w:r>
              <w:rPr>
                <w:rFonts w:ascii="Arial" w:cs="Arial" w:eastAsia="Arial" w:hAnsi="Arial"/>
                <w:sz w:val="18"/>
                <w:szCs w:val="18"/>
                <w:color w:val="auto"/>
              </w:rPr>
              <w:t>Restructuring liabilities</w:t>
            </w:r>
          </w:p>
        </w:tc>
        <w:tc>
          <w:tcPr>
            <w:tcW w:w="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6.7</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440" w:type="dxa"/>
            <w:vAlign w:val="bottom"/>
            <w:shd w:val="clear" w:color="auto" w:fill="CCEEFF"/>
          </w:tcPr>
          <w:p>
            <w:pPr>
              <w:ind w:left="1300"/>
              <w:spacing w:after="0"/>
              <w:rPr>
                <w:sz w:val="20"/>
                <w:szCs w:val="20"/>
                <w:color w:val="auto"/>
              </w:rPr>
            </w:pPr>
            <w:r>
              <w:rPr>
                <w:rFonts w:ascii="Arial" w:cs="Arial" w:eastAsia="Arial" w:hAnsi="Arial"/>
                <w:sz w:val="18"/>
                <w:szCs w:val="18"/>
                <w:color w:val="auto"/>
              </w:rPr>
              <w:t>Total Current Liabilities</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202.0</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w w:val="97"/>
              </w:rPr>
              <w:t>166.6</w:t>
            </w:r>
          </w:p>
        </w:tc>
        <w:tc>
          <w:tcPr>
            <w:tcW w:w="0" w:type="dxa"/>
            <w:vAlign w:val="bottom"/>
          </w:tcPr>
          <w:p>
            <w:pPr>
              <w:spacing w:after="0"/>
              <w:rPr>
                <w:sz w:val="1"/>
                <w:szCs w:val="1"/>
                <w:color w:val="auto"/>
              </w:rPr>
            </w:pPr>
          </w:p>
        </w:tc>
      </w:tr>
      <w:tr>
        <w:trPr>
          <w:trHeight w:val="216"/>
        </w:trPr>
        <w:tc>
          <w:tcPr>
            <w:tcW w:w="9440" w:type="dxa"/>
            <w:vAlign w:val="bottom"/>
          </w:tcPr>
          <w:p>
            <w:pPr>
              <w:ind w:left="440"/>
              <w:spacing w:after="0"/>
              <w:rPr>
                <w:sz w:val="20"/>
                <w:szCs w:val="20"/>
                <w:color w:val="auto"/>
              </w:rPr>
            </w:pPr>
            <w:r>
              <w:rPr>
                <w:rFonts w:ascii="Arial" w:cs="Arial" w:eastAsia="Arial" w:hAnsi="Arial"/>
                <w:sz w:val="18"/>
                <w:szCs w:val="18"/>
                <w:i w:val="1"/>
                <w:iCs w:val="1"/>
                <w:color w:val="auto"/>
              </w:rPr>
              <w:t>Long-Term Liabilities</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40" w:type="dxa"/>
            <w:vAlign w:val="bottom"/>
            <w:shd w:val="clear" w:color="auto" w:fill="CCEEFF"/>
          </w:tcPr>
          <w:p>
            <w:pPr>
              <w:ind w:left="880"/>
              <w:spacing w:after="0"/>
              <w:rPr>
                <w:sz w:val="20"/>
                <w:szCs w:val="20"/>
                <w:color w:val="auto"/>
              </w:rPr>
            </w:pPr>
            <w:r>
              <w:rPr>
                <w:rFonts w:ascii="Arial" w:cs="Arial" w:eastAsia="Arial" w:hAnsi="Arial"/>
                <w:sz w:val="18"/>
                <w:szCs w:val="18"/>
                <w:color w:val="auto"/>
              </w:rPr>
              <w:t>Other long-term liabilities</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3.7</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2.7</w:t>
            </w:r>
          </w:p>
        </w:tc>
        <w:tc>
          <w:tcPr>
            <w:tcW w:w="0" w:type="dxa"/>
            <w:vAlign w:val="bottom"/>
          </w:tcPr>
          <w:p>
            <w:pPr>
              <w:spacing w:after="0"/>
              <w:rPr>
                <w:sz w:val="1"/>
                <w:szCs w:val="1"/>
                <w:color w:val="auto"/>
              </w:rPr>
            </w:pPr>
          </w:p>
        </w:tc>
      </w:tr>
      <w:tr>
        <w:trPr>
          <w:trHeight w:val="216"/>
        </w:trPr>
        <w:tc>
          <w:tcPr>
            <w:tcW w:w="9440" w:type="dxa"/>
            <w:vAlign w:val="bottom"/>
          </w:tcPr>
          <w:p>
            <w:pPr>
              <w:ind w:left="880"/>
              <w:spacing w:after="0"/>
              <w:rPr>
                <w:sz w:val="20"/>
                <w:szCs w:val="20"/>
                <w:color w:val="auto"/>
              </w:rPr>
            </w:pPr>
            <w:r>
              <w:rPr>
                <w:rFonts w:ascii="Arial" w:cs="Arial" w:eastAsia="Arial" w:hAnsi="Arial"/>
                <w:sz w:val="18"/>
                <w:szCs w:val="18"/>
                <w:color w:val="auto"/>
              </w:rPr>
              <w:t>Redeemable preference shares</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b w:val="1"/>
                <w:bCs w:val="1"/>
                <w:color w:val="auto"/>
              </w:rPr>
              <w:t>8.3</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8.3</w:t>
            </w:r>
          </w:p>
        </w:tc>
        <w:tc>
          <w:tcPr>
            <w:tcW w:w="0" w:type="dxa"/>
            <w:vAlign w:val="bottom"/>
          </w:tcPr>
          <w:p>
            <w:pPr>
              <w:spacing w:after="0"/>
              <w:rPr>
                <w:sz w:val="1"/>
                <w:szCs w:val="1"/>
                <w:color w:val="auto"/>
              </w:rPr>
            </w:pPr>
          </w:p>
        </w:tc>
      </w:tr>
      <w:tr>
        <w:trPr>
          <w:trHeight w:val="216"/>
        </w:trPr>
        <w:tc>
          <w:tcPr>
            <w:tcW w:w="9440" w:type="dxa"/>
            <w:vAlign w:val="bottom"/>
            <w:shd w:val="clear" w:color="auto" w:fill="CCEEFF"/>
          </w:tcPr>
          <w:p>
            <w:pPr>
              <w:ind w:left="880"/>
              <w:spacing w:after="0"/>
              <w:rPr>
                <w:sz w:val="20"/>
                <w:szCs w:val="20"/>
                <w:color w:val="auto"/>
              </w:rPr>
            </w:pPr>
            <w:r>
              <w:rPr>
                <w:rFonts w:ascii="Arial" w:cs="Arial" w:eastAsia="Arial" w:hAnsi="Arial"/>
                <w:sz w:val="18"/>
                <w:szCs w:val="18"/>
                <w:color w:val="auto"/>
              </w:rPr>
              <w:t>Reserve for uncertain tax positions</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6.2</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5.6</w:t>
            </w:r>
          </w:p>
        </w:tc>
        <w:tc>
          <w:tcPr>
            <w:tcW w:w="0" w:type="dxa"/>
            <w:vAlign w:val="bottom"/>
          </w:tcPr>
          <w:p>
            <w:pPr>
              <w:spacing w:after="0"/>
              <w:rPr>
                <w:sz w:val="1"/>
                <w:szCs w:val="1"/>
                <w:color w:val="auto"/>
              </w:rPr>
            </w:pPr>
          </w:p>
        </w:tc>
      </w:tr>
      <w:tr>
        <w:trPr>
          <w:trHeight w:val="223"/>
        </w:trPr>
        <w:tc>
          <w:tcPr>
            <w:tcW w:w="9440" w:type="dxa"/>
            <w:vAlign w:val="bottom"/>
          </w:tcPr>
          <w:p>
            <w:pPr>
              <w:ind w:left="880"/>
              <w:spacing w:after="0"/>
              <w:rPr>
                <w:sz w:val="20"/>
                <w:szCs w:val="20"/>
                <w:color w:val="auto"/>
              </w:rPr>
            </w:pPr>
            <w:r>
              <w:rPr>
                <w:rFonts w:ascii="Arial" w:cs="Arial" w:eastAsia="Arial" w:hAnsi="Arial"/>
                <w:sz w:val="18"/>
                <w:szCs w:val="18"/>
                <w:color w:val="auto"/>
              </w:rPr>
              <w:t>Deferred income taxes</w:t>
            </w:r>
          </w:p>
        </w:tc>
        <w:tc>
          <w:tcPr>
            <w:tcW w:w="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0.6</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0.6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440" w:type="dxa"/>
            <w:vAlign w:val="bottom"/>
            <w:shd w:val="clear" w:color="auto" w:fill="CCEEFF"/>
          </w:tcPr>
          <w:p>
            <w:pPr>
              <w:ind w:left="1300"/>
              <w:spacing w:after="0"/>
              <w:rPr>
                <w:sz w:val="20"/>
                <w:szCs w:val="20"/>
                <w:color w:val="auto"/>
              </w:rPr>
            </w:pPr>
            <w:r>
              <w:rPr>
                <w:rFonts w:ascii="Arial" w:cs="Arial" w:eastAsia="Arial" w:hAnsi="Arial"/>
                <w:sz w:val="18"/>
                <w:szCs w:val="18"/>
                <w:color w:val="auto"/>
              </w:rPr>
              <w:t>Total Liabilities</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220.8</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w w:val="97"/>
              </w:rPr>
              <w:t>183.8</w:t>
            </w:r>
          </w:p>
        </w:tc>
        <w:tc>
          <w:tcPr>
            <w:tcW w:w="0" w:type="dxa"/>
            <w:vAlign w:val="bottom"/>
          </w:tcPr>
          <w:p>
            <w:pPr>
              <w:spacing w:after="0"/>
              <w:rPr>
                <w:sz w:val="1"/>
                <w:szCs w:val="1"/>
                <w:color w:val="auto"/>
              </w:rPr>
            </w:pPr>
          </w:p>
        </w:tc>
      </w:tr>
      <w:tr>
        <w:trPr>
          <w:trHeight w:val="216"/>
        </w:trPr>
        <w:tc>
          <w:tcPr>
            <w:tcW w:w="9440" w:type="dxa"/>
            <w:vAlign w:val="bottom"/>
          </w:tcPr>
          <w:p>
            <w:pPr>
              <w:ind w:left="440"/>
              <w:spacing w:after="0"/>
              <w:rPr>
                <w:sz w:val="20"/>
                <w:szCs w:val="20"/>
                <w:color w:val="auto"/>
              </w:rPr>
            </w:pPr>
            <w:r>
              <w:rPr>
                <w:rFonts w:ascii="Arial" w:cs="Arial" w:eastAsia="Arial" w:hAnsi="Arial"/>
                <w:sz w:val="18"/>
                <w:szCs w:val="18"/>
                <w:i w:val="1"/>
                <w:iCs w:val="1"/>
                <w:color w:val="auto"/>
              </w:rPr>
              <w:t>Commitments and contingencies</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40" w:type="dxa"/>
            <w:vAlign w:val="bottom"/>
            <w:shd w:val="clear" w:color="auto" w:fill="CCEEFF"/>
          </w:tcPr>
          <w:p>
            <w:pPr>
              <w:ind w:left="440"/>
              <w:spacing w:after="0"/>
              <w:rPr>
                <w:sz w:val="20"/>
                <w:szCs w:val="20"/>
                <w:color w:val="auto"/>
              </w:rPr>
            </w:pPr>
            <w:r>
              <w:rPr>
                <w:rFonts w:ascii="Arial" w:cs="Arial" w:eastAsia="Arial" w:hAnsi="Arial"/>
                <w:sz w:val="18"/>
                <w:szCs w:val="18"/>
                <w:i w:val="1"/>
                <w:iCs w:val="1"/>
                <w:color w:val="auto"/>
              </w:rPr>
              <w:t>Stockholders’ Equity</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40" w:type="dxa"/>
            <w:vAlign w:val="bottom"/>
          </w:tcPr>
          <w:p>
            <w:pPr>
              <w:ind w:left="880"/>
              <w:spacing w:after="0"/>
              <w:rPr>
                <w:sz w:val="20"/>
                <w:szCs w:val="20"/>
                <w:color w:val="auto"/>
              </w:rPr>
            </w:pPr>
            <w:r>
              <w:rPr>
                <w:rFonts w:ascii="Arial" w:cs="Arial" w:eastAsia="Arial" w:hAnsi="Arial"/>
                <w:sz w:val="18"/>
                <w:szCs w:val="18"/>
                <w:color w:val="auto"/>
              </w:rPr>
              <w:t>Preferred stock, $0.01 par value; 50,000,000 shares authorized; none issued</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08"/>
        </w:trPr>
        <w:tc>
          <w:tcPr>
            <w:tcW w:w="9440" w:type="dxa"/>
            <w:vAlign w:val="bottom"/>
            <w:shd w:val="clear" w:color="auto" w:fill="CCEEFF"/>
          </w:tcPr>
          <w:p>
            <w:pPr>
              <w:ind w:left="880"/>
              <w:spacing w:after="0"/>
              <w:rPr>
                <w:sz w:val="20"/>
                <w:szCs w:val="20"/>
                <w:color w:val="auto"/>
              </w:rPr>
            </w:pPr>
            <w:r>
              <w:rPr>
                <w:rFonts w:ascii="Arial" w:cs="Arial" w:eastAsia="Arial" w:hAnsi="Arial"/>
                <w:sz w:val="18"/>
                <w:szCs w:val="18"/>
                <w:color w:val="auto"/>
                <w:w w:val="94"/>
              </w:rPr>
              <w:t>Common stock, $0.01 par value; 300,000,000 shares authorized; issued and outstanding 60,518,842 shares as of</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0.6</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0.6</w:t>
            </w:r>
          </w:p>
        </w:tc>
        <w:tc>
          <w:tcPr>
            <w:tcW w:w="0" w:type="dxa"/>
            <w:vAlign w:val="bottom"/>
          </w:tcPr>
          <w:p>
            <w:pPr>
              <w:spacing w:after="0"/>
              <w:rPr>
                <w:sz w:val="1"/>
                <w:szCs w:val="1"/>
                <w:color w:val="auto"/>
              </w:rPr>
            </w:pPr>
          </w:p>
        </w:tc>
      </w:tr>
      <w:tr>
        <w:trPr>
          <w:trHeight w:val="224"/>
        </w:trPr>
        <w:tc>
          <w:tcPr>
            <w:tcW w:w="9440" w:type="dxa"/>
            <w:vAlign w:val="bottom"/>
            <w:shd w:val="clear" w:color="auto" w:fill="CCEEFF"/>
          </w:tcPr>
          <w:p>
            <w:pPr>
              <w:ind w:left="1080"/>
              <w:spacing w:after="0"/>
              <w:rPr>
                <w:sz w:val="20"/>
                <w:szCs w:val="20"/>
                <w:color w:val="auto"/>
              </w:rPr>
            </w:pPr>
            <w:r>
              <w:rPr>
                <w:rFonts w:ascii="Arial" w:cs="Arial" w:eastAsia="Arial" w:hAnsi="Arial"/>
                <w:sz w:val="18"/>
                <w:szCs w:val="18"/>
                <w:color w:val="auto"/>
              </w:rPr>
              <w:t>December 31, 2010 and 59,400,059 shares as of July 2, 2010</w:t>
            </w: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20" w:type="dxa"/>
            <w:vAlign w:val="bottom"/>
            <w:vMerge w:val="continue"/>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gridSpan w:val="2"/>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440" w:type="dxa"/>
            <w:vAlign w:val="bottom"/>
          </w:tcPr>
          <w:p>
            <w:pPr>
              <w:ind w:left="880"/>
              <w:spacing w:after="0"/>
              <w:rPr>
                <w:sz w:val="20"/>
                <w:szCs w:val="20"/>
                <w:color w:val="auto"/>
              </w:rPr>
            </w:pPr>
            <w:r>
              <w:rPr>
                <w:rFonts w:ascii="Arial" w:cs="Arial" w:eastAsia="Arial" w:hAnsi="Arial"/>
                <w:sz w:val="18"/>
                <w:szCs w:val="18"/>
                <w:color w:val="auto"/>
              </w:rPr>
              <w:t>Additional paid-in-capital</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b w:val="1"/>
                <w:bCs w:val="1"/>
                <w:color w:val="auto"/>
              </w:rPr>
              <w:t>788.6</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w w:val="97"/>
              </w:rPr>
              <w:t>786.5</w:t>
            </w:r>
          </w:p>
        </w:tc>
        <w:tc>
          <w:tcPr>
            <w:tcW w:w="0" w:type="dxa"/>
            <w:vAlign w:val="bottom"/>
          </w:tcPr>
          <w:p>
            <w:pPr>
              <w:spacing w:after="0"/>
              <w:rPr>
                <w:sz w:val="1"/>
                <w:szCs w:val="1"/>
                <w:color w:val="auto"/>
              </w:rPr>
            </w:pPr>
          </w:p>
        </w:tc>
      </w:tr>
      <w:tr>
        <w:trPr>
          <w:trHeight w:val="216"/>
        </w:trPr>
        <w:tc>
          <w:tcPr>
            <w:tcW w:w="9440" w:type="dxa"/>
            <w:vAlign w:val="bottom"/>
            <w:shd w:val="clear" w:color="auto" w:fill="CCEEFF"/>
          </w:tcPr>
          <w:p>
            <w:pPr>
              <w:ind w:left="880"/>
              <w:spacing w:after="0"/>
              <w:rPr>
                <w:sz w:val="20"/>
                <w:szCs w:val="20"/>
                <w:color w:val="auto"/>
              </w:rPr>
            </w:pPr>
            <w:r>
              <w:rPr>
                <w:rFonts w:ascii="Arial" w:cs="Arial" w:eastAsia="Arial" w:hAnsi="Arial"/>
                <w:sz w:val="18"/>
                <w:szCs w:val="18"/>
                <w:color w:val="auto"/>
              </w:rPr>
              <w:t>Accumulated deficit</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(555.1)</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w w:val="87"/>
              </w:rPr>
              <w:t>(521.3)</w:t>
            </w:r>
          </w:p>
        </w:tc>
        <w:tc>
          <w:tcPr>
            <w:tcW w:w="0" w:type="dxa"/>
            <w:vAlign w:val="bottom"/>
          </w:tcPr>
          <w:p>
            <w:pPr>
              <w:spacing w:after="0"/>
              <w:rPr>
                <w:sz w:val="1"/>
                <w:szCs w:val="1"/>
                <w:color w:val="auto"/>
              </w:rPr>
            </w:pPr>
          </w:p>
        </w:tc>
      </w:tr>
      <w:tr>
        <w:trPr>
          <w:trHeight w:val="223"/>
        </w:trPr>
        <w:tc>
          <w:tcPr>
            <w:tcW w:w="9440" w:type="dxa"/>
            <w:vAlign w:val="bottom"/>
          </w:tcPr>
          <w:p>
            <w:pPr>
              <w:ind w:left="880"/>
              <w:spacing w:after="0"/>
              <w:rPr>
                <w:sz w:val="20"/>
                <w:szCs w:val="20"/>
                <w:color w:val="auto"/>
              </w:rPr>
            </w:pPr>
            <w:r>
              <w:rPr>
                <w:rFonts w:ascii="Arial" w:cs="Arial" w:eastAsia="Arial" w:hAnsi="Arial"/>
                <w:sz w:val="18"/>
                <w:szCs w:val="18"/>
                <w:color w:val="auto"/>
              </w:rPr>
              <w:t>Accumulated other comprehensive loss</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(3.0)</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(2.6)</w:t>
            </w:r>
          </w:p>
        </w:tc>
        <w:tc>
          <w:tcPr>
            <w:tcW w:w="0" w:type="dxa"/>
            <w:vAlign w:val="bottom"/>
          </w:tcPr>
          <w:p>
            <w:pPr>
              <w:spacing w:after="0"/>
              <w:rPr>
                <w:sz w:val="1"/>
                <w:szCs w:val="1"/>
                <w:color w:val="auto"/>
              </w:rPr>
            </w:pPr>
          </w:p>
        </w:tc>
      </w:tr>
      <w:tr>
        <w:trPr>
          <w:trHeight w:val="216"/>
        </w:trPr>
        <w:tc>
          <w:tcPr>
            <w:tcW w:w="9440" w:type="dxa"/>
            <w:vAlign w:val="bottom"/>
            <w:shd w:val="clear" w:color="auto" w:fill="CCEEFF"/>
          </w:tcPr>
          <w:p>
            <w:pPr>
              <w:ind w:left="1300"/>
              <w:spacing w:after="0"/>
              <w:rPr>
                <w:sz w:val="20"/>
                <w:szCs w:val="20"/>
                <w:color w:val="auto"/>
              </w:rPr>
            </w:pPr>
            <w:r>
              <w:rPr>
                <w:rFonts w:ascii="Arial" w:cs="Arial" w:eastAsia="Arial" w:hAnsi="Arial"/>
                <w:sz w:val="18"/>
                <w:szCs w:val="18"/>
                <w:color w:val="auto"/>
              </w:rPr>
              <w:t>Total Stockholders’ Equity</w:t>
            </w:r>
          </w:p>
        </w:tc>
        <w:tc>
          <w:tcPr>
            <w:tcW w:w="20" w:type="dxa"/>
            <w:vAlign w:val="bottom"/>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231.1</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7"/>
              </w:rPr>
              <w:t>263.2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9440" w:type="dxa"/>
            <w:vAlign w:val="bottom"/>
          </w:tcPr>
          <w:p>
            <w:pPr>
              <w:ind w:left="1300"/>
              <w:spacing w:after="0"/>
              <w:rPr>
                <w:sz w:val="20"/>
                <w:szCs w:val="20"/>
                <w:color w:val="auto"/>
              </w:rPr>
            </w:pPr>
            <w:r>
              <w:rPr>
                <w:rFonts w:ascii="Arial" w:cs="Arial" w:eastAsia="Arial" w:hAnsi="Arial"/>
                <w:sz w:val="18"/>
                <w:szCs w:val="18"/>
                <w:color w:val="auto"/>
              </w:rPr>
              <w:t>Total Liabilities And Stockholders’ Equity</w:t>
            </w:r>
          </w:p>
        </w:tc>
        <w:tc>
          <w:tcPr>
            <w:tcW w:w="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451.9</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7"/>
              </w:rPr>
              <w:t>447.0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AVIAT NETWORKS,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980" w:type="dxa"/>
            <w:vAlign w:val="bottom"/>
            <w:gridSpan w:val="6"/>
          </w:tcPr>
          <w:p>
            <w:pPr>
              <w:jc w:val="right"/>
              <w:ind w:right="520"/>
              <w:spacing w:after="0"/>
              <w:rPr>
                <w:sz w:val="20"/>
                <w:szCs w:val="20"/>
                <w:color w:val="auto"/>
              </w:rPr>
            </w:pPr>
            <w:r>
              <w:rPr>
                <w:rFonts w:ascii="Arial" w:cs="Arial" w:eastAsia="Arial" w:hAnsi="Arial"/>
                <w:sz w:val="14"/>
                <w:szCs w:val="14"/>
                <w:b w:val="1"/>
                <w:bCs w:val="1"/>
                <w:color w:val="auto"/>
              </w:rPr>
              <w:t>Two Quarters Ended</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9240" w:type="dxa"/>
            <w:vAlign w:val="bottom"/>
          </w:tcPr>
          <w:p>
            <w:pPr>
              <w:spacing w:after="0"/>
              <w:rPr>
                <w:sz w:val="11"/>
                <w:szCs w:val="11"/>
                <w:color w:val="auto"/>
              </w:rPr>
            </w:pPr>
          </w:p>
        </w:tc>
        <w:tc>
          <w:tcPr>
            <w:tcW w:w="1400" w:type="dxa"/>
            <w:vAlign w:val="bottom"/>
            <w:tcBorders>
              <w:top w:val="single" w:sz="8" w:color="auto"/>
            </w:tcBorders>
            <w:gridSpan w:val="3"/>
          </w:tcPr>
          <w:p>
            <w:pPr>
              <w:spacing w:after="0" w:line="129" w:lineRule="exact"/>
              <w:rPr>
                <w:sz w:val="20"/>
                <w:szCs w:val="20"/>
                <w:color w:val="auto"/>
              </w:rPr>
            </w:pPr>
            <w:r>
              <w:rPr>
                <w:rFonts w:ascii="Arial" w:cs="Arial" w:eastAsia="Arial" w:hAnsi="Arial"/>
                <w:sz w:val="14"/>
                <w:szCs w:val="14"/>
                <w:b w:val="1"/>
                <w:bCs w:val="1"/>
                <w:color w:val="auto"/>
              </w:rPr>
              <w:t>December 31,</w:t>
            </w:r>
          </w:p>
        </w:tc>
        <w:tc>
          <w:tcPr>
            <w:tcW w:w="4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gridSpan w:val="2"/>
          </w:tcPr>
          <w:p>
            <w:pPr>
              <w:spacing w:after="0" w:line="129" w:lineRule="exact"/>
              <w:rPr>
                <w:sz w:val="20"/>
                <w:szCs w:val="20"/>
                <w:color w:val="auto"/>
              </w:rPr>
            </w:pPr>
            <w:r>
              <w:rPr>
                <w:rFonts w:ascii="Arial" w:cs="Arial" w:eastAsia="Arial" w:hAnsi="Arial"/>
                <w:sz w:val="14"/>
                <w:szCs w:val="14"/>
                <w:b w:val="1"/>
                <w:bCs w:val="1"/>
                <w:color w:val="auto"/>
                <w:w w:val="86"/>
              </w:rPr>
              <w:t>January 1,</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92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2010</w:t>
            </w: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93"/>
              <w:spacing w:after="0"/>
              <w:rPr>
                <w:sz w:val="20"/>
                <w:szCs w:val="20"/>
                <w:color w:val="auto"/>
              </w:rPr>
            </w:pPr>
            <w:r>
              <w:rPr>
                <w:rFonts w:ascii="Arial" w:cs="Arial" w:eastAsia="Arial" w:hAnsi="Arial"/>
                <w:sz w:val="14"/>
                <w:szCs w:val="14"/>
                <w:b w:val="1"/>
                <w:bCs w:val="1"/>
                <w:color w:val="auto"/>
                <w:w w:val="96"/>
              </w:rPr>
              <w:t>2010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20" w:type="dxa"/>
            <w:vAlign w:val="bottom"/>
            <w:gridSpan w:val="2"/>
          </w:tcPr>
          <w:p>
            <w:pPr>
              <w:jc w:val="right"/>
              <w:ind w:right="20"/>
              <w:spacing w:after="0" w:line="142" w:lineRule="exact"/>
              <w:rPr>
                <w:sz w:val="20"/>
                <w:szCs w:val="20"/>
                <w:color w:val="auto"/>
              </w:rPr>
            </w:pPr>
            <w:r>
              <w:rPr>
                <w:rFonts w:ascii="Arial" w:cs="Arial" w:eastAsia="Arial" w:hAnsi="Arial"/>
                <w:sz w:val="14"/>
                <w:szCs w:val="14"/>
                <w:b w:val="1"/>
                <w:bCs w:val="1"/>
                <w:color w:val="auto"/>
              </w:rPr>
              <w:t>(In millions)</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40" w:type="dxa"/>
            <w:vAlign w:val="bottom"/>
          </w:tcPr>
          <w:p>
            <w:pPr>
              <w:ind w:left="420"/>
              <w:spacing w:after="0"/>
              <w:rPr>
                <w:sz w:val="20"/>
                <w:szCs w:val="20"/>
                <w:color w:val="auto"/>
              </w:rPr>
            </w:pPr>
            <w:r>
              <w:rPr>
                <w:rFonts w:ascii="Arial" w:cs="Arial" w:eastAsia="Arial" w:hAnsi="Arial"/>
                <w:sz w:val="18"/>
                <w:szCs w:val="18"/>
                <w:color w:val="auto"/>
              </w:rPr>
              <w:t>Net loss</w:t>
            </w:r>
          </w:p>
        </w:tc>
        <w:tc>
          <w:tcPr>
            <w:tcW w:w="180" w:type="dxa"/>
            <w:vAlign w:val="bottom"/>
          </w:tcPr>
          <w:p>
            <w:pPr>
              <w:spacing w:after="0"/>
              <w:rPr>
                <w:sz w:val="20"/>
                <w:szCs w:val="20"/>
                <w:color w:val="auto"/>
              </w:rPr>
            </w:pPr>
            <w:r>
              <w:rPr>
                <w:rFonts w:ascii="Arial" w:cs="Arial" w:eastAsia="Arial" w:hAnsi="Arial"/>
                <w:sz w:val="18"/>
                <w:szCs w:val="18"/>
                <w:b w:val="1"/>
                <w:bCs w:val="1"/>
                <w:color w:val="auto"/>
              </w:rPr>
              <w:t>$</w:t>
            </w:r>
          </w:p>
        </w:tc>
        <w:tc>
          <w:tcPr>
            <w:tcW w:w="122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rPr>
              <w:t>(33.8)</w:t>
            </w:r>
          </w:p>
        </w:tc>
        <w:tc>
          <w:tcPr>
            <w:tcW w:w="160" w:type="dxa"/>
            <w:vAlign w:val="bottom"/>
            <w:gridSpan w:val="2"/>
          </w:tcPr>
          <w:p>
            <w:pPr>
              <w:ind w:left="40"/>
              <w:spacing w:after="0"/>
              <w:rPr>
                <w:sz w:val="20"/>
                <w:szCs w:val="20"/>
                <w:color w:val="auto"/>
              </w:rPr>
            </w:pPr>
            <w:r>
              <w:rPr>
                <w:rFonts w:ascii="Arial" w:cs="Arial" w:eastAsia="Arial" w:hAnsi="Arial"/>
                <w:sz w:val="18"/>
                <w:szCs w:val="18"/>
                <w:b w:val="1"/>
                <w:bCs w:val="1"/>
                <w:color w:val="auto"/>
                <w:w w:val="99"/>
              </w:rPr>
              <w:t>$</w:t>
            </w:r>
          </w:p>
        </w:tc>
        <w:tc>
          <w:tcPr>
            <w:tcW w:w="60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(15.7)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Adjustments to reconcile net loss to net cash provided by (used in) operating activities:</w:t>
            </w: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40" w:type="dxa"/>
            <w:vAlign w:val="bottom"/>
          </w:tcPr>
          <w:p>
            <w:pPr>
              <w:ind w:left="860"/>
              <w:spacing w:after="0"/>
              <w:rPr>
                <w:sz w:val="20"/>
                <w:szCs w:val="20"/>
                <w:color w:val="auto"/>
              </w:rPr>
            </w:pPr>
            <w:r>
              <w:rPr>
                <w:rFonts w:ascii="Arial" w:cs="Arial" w:eastAsia="Arial" w:hAnsi="Arial"/>
                <w:sz w:val="18"/>
                <w:szCs w:val="18"/>
                <w:color w:val="auto"/>
              </w:rPr>
              <w:t>Amortization of identifiable intangible assets</w:t>
            </w:r>
          </w:p>
        </w:tc>
        <w:tc>
          <w:tcPr>
            <w:tcW w:w="180" w:type="dxa"/>
            <w:vAlign w:val="bottom"/>
          </w:tcPr>
          <w:p>
            <w:pPr>
              <w:spacing w:after="0"/>
              <w:rPr>
                <w:sz w:val="18"/>
                <w:szCs w:val="18"/>
                <w:color w:val="auto"/>
              </w:rPr>
            </w:pPr>
          </w:p>
        </w:tc>
        <w:tc>
          <w:tcPr>
            <w:tcW w:w="1220" w:type="dxa"/>
            <w:vAlign w:val="bottom"/>
            <w:gridSpan w:val="2"/>
          </w:tcPr>
          <w:p>
            <w:pPr>
              <w:jc w:val="right"/>
              <w:ind w:right="600"/>
              <w:spacing w:after="0"/>
              <w:rPr>
                <w:sz w:val="20"/>
                <w:szCs w:val="20"/>
                <w:color w:val="auto"/>
              </w:rPr>
            </w:pPr>
            <w:r>
              <w:rPr>
                <w:rFonts w:ascii="Arial" w:cs="Arial" w:eastAsia="Arial" w:hAnsi="Arial"/>
                <w:sz w:val="18"/>
                <w:szCs w:val="18"/>
                <w:b w:val="1"/>
                <w:bCs w:val="1"/>
                <w:color w:val="auto"/>
              </w:rPr>
              <w:t>1.7</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Depreciation and amortization of property, plant and equipment and capitalized software</w:t>
            </w:r>
          </w:p>
        </w:tc>
        <w:tc>
          <w:tcPr>
            <w:tcW w:w="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b w:val="1"/>
                <w:bCs w:val="1"/>
                <w:color w:val="auto"/>
              </w:rPr>
              <w:t>5.8</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40" w:type="dxa"/>
            <w:vAlign w:val="bottom"/>
          </w:tcPr>
          <w:p>
            <w:pPr>
              <w:ind w:left="860"/>
              <w:spacing w:after="0"/>
              <w:rPr>
                <w:sz w:val="20"/>
                <w:szCs w:val="20"/>
                <w:color w:val="auto"/>
              </w:rPr>
            </w:pPr>
            <w:r>
              <w:rPr>
                <w:rFonts w:ascii="Arial" w:cs="Arial" w:eastAsia="Arial" w:hAnsi="Arial"/>
                <w:sz w:val="18"/>
                <w:szCs w:val="18"/>
                <w:color w:val="auto"/>
              </w:rPr>
              <w:t>Non-cash share-based compensation expense</w:t>
            </w:r>
          </w:p>
        </w:tc>
        <w:tc>
          <w:tcPr>
            <w:tcW w:w="180" w:type="dxa"/>
            <w:vAlign w:val="bottom"/>
          </w:tcPr>
          <w:p>
            <w:pPr>
              <w:spacing w:after="0"/>
              <w:rPr>
                <w:sz w:val="18"/>
                <w:szCs w:val="18"/>
                <w:color w:val="auto"/>
              </w:rPr>
            </w:pPr>
          </w:p>
        </w:tc>
        <w:tc>
          <w:tcPr>
            <w:tcW w:w="1220" w:type="dxa"/>
            <w:vAlign w:val="bottom"/>
            <w:gridSpan w:val="2"/>
          </w:tcPr>
          <w:p>
            <w:pPr>
              <w:jc w:val="right"/>
              <w:ind w:right="600"/>
              <w:spacing w:after="0"/>
              <w:rPr>
                <w:sz w:val="20"/>
                <w:szCs w:val="20"/>
                <w:color w:val="auto"/>
              </w:rPr>
            </w:pPr>
            <w:r>
              <w:rPr>
                <w:rFonts w:ascii="Arial" w:cs="Arial" w:eastAsia="Arial" w:hAnsi="Arial"/>
                <w:sz w:val="18"/>
                <w:szCs w:val="18"/>
                <w:b w:val="1"/>
                <w:bCs w:val="1"/>
                <w:color w:val="auto"/>
              </w:rPr>
              <w:t>2.1</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Deferred income tax (benefit) expense</w:t>
            </w:r>
          </w:p>
        </w:tc>
        <w:tc>
          <w:tcPr>
            <w:tcW w:w="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b w:val="1"/>
                <w:bCs w:val="1"/>
                <w:color w:val="auto"/>
              </w:rPr>
              <w:t>(7.5)</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40" w:type="dxa"/>
            <w:vAlign w:val="bottom"/>
          </w:tcPr>
          <w:p>
            <w:pPr>
              <w:ind w:left="860"/>
              <w:spacing w:after="0"/>
              <w:rPr>
                <w:sz w:val="20"/>
                <w:szCs w:val="20"/>
                <w:color w:val="auto"/>
              </w:rPr>
            </w:pPr>
            <w:r>
              <w:rPr>
                <w:rFonts w:ascii="Arial" w:cs="Arial" w:eastAsia="Arial" w:hAnsi="Arial"/>
                <w:sz w:val="18"/>
                <w:szCs w:val="18"/>
                <w:color w:val="auto"/>
              </w:rPr>
              <w:t>Loss on sale of NetBoss assets</w:t>
            </w:r>
          </w:p>
        </w:tc>
        <w:tc>
          <w:tcPr>
            <w:tcW w:w="180" w:type="dxa"/>
            <w:vAlign w:val="bottom"/>
          </w:tcPr>
          <w:p>
            <w:pPr>
              <w:spacing w:after="0"/>
              <w:rPr>
                <w:sz w:val="18"/>
                <w:szCs w:val="18"/>
                <w:color w:val="auto"/>
              </w:rPr>
            </w:pPr>
          </w:p>
        </w:tc>
        <w:tc>
          <w:tcPr>
            <w:tcW w:w="1220" w:type="dxa"/>
            <w:vAlign w:val="bottom"/>
            <w:gridSpan w:val="2"/>
          </w:tcPr>
          <w:p>
            <w:pPr>
              <w:jc w:val="right"/>
              <w:ind w:right="600"/>
              <w:spacing w:after="0"/>
              <w:rPr>
                <w:sz w:val="20"/>
                <w:szCs w:val="20"/>
                <w:color w:val="auto"/>
              </w:rPr>
            </w:pPr>
            <w:r>
              <w:rPr>
                <w:rFonts w:ascii="Arial" w:cs="Arial" w:eastAsia="Arial" w:hAnsi="Arial"/>
                <w:sz w:val="18"/>
                <w:szCs w:val="18"/>
                <w:b w:val="1"/>
                <w:bCs w:val="1"/>
                <w:color w:val="auto"/>
              </w:rPr>
              <w:t>4.4</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Changes in operating assets and liabilities:</w:t>
            </w: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40" w:type="dxa"/>
            <w:vAlign w:val="bottom"/>
          </w:tcPr>
          <w:p>
            <w:pPr>
              <w:ind w:left="860"/>
              <w:spacing w:after="0"/>
              <w:rPr>
                <w:sz w:val="20"/>
                <w:szCs w:val="20"/>
                <w:color w:val="auto"/>
              </w:rPr>
            </w:pPr>
            <w:r>
              <w:rPr>
                <w:rFonts w:ascii="Arial" w:cs="Arial" w:eastAsia="Arial" w:hAnsi="Arial"/>
                <w:sz w:val="18"/>
                <w:szCs w:val="18"/>
                <w:color w:val="auto"/>
              </w:rPr>
              <w:t>Receivables</w:t>
            </w:r>
          </w:p>
        </w:tc>
        <w:tc>
          <w:tcPr>
            <w:tcW w:w="180" w:type="dxa"/>
            <w:vAlign w:val="bottom"/>
          </w:tcPr>
          <w:p>
            <w:pPr>
              <w:spacing w:after="0"/>
              <w:rPr>
                <w:sz w:val="18"/>
                <w:szCs w:val="18"/>
                <w:color w:val="auto"/>
              </w:rPr>
            </w:pPr>
          </w:p>
        </w:tc>
        <w:tc>
          <w:tcPr>
            <w:tcW w:w="122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rPr>
              <w:t>(38.9)</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Unbilled costs and inventories</w:t>
            </w:r>
          </w:p>
        </w:tc>
        <w:tc>
          <w:tcPr>
            <w:tcW w:w="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b w:val="1"/>
                <w:bCs w:val="1"/>
                <w:color w:val="auto"/>
              </w:rPr>
              <w:t>(4.3)</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40" w:type="dxa"/>
            <w:vAlign w:val="bottom"/>
          </w:tcPr>
          <w:p>
            <w:pPr>
              <w:ind w:left="860"/>
              <w:spacing w:after="0"/>
              <w:rPr>
                <w:sz w:val="20"/>
                <w:szCs w:val="20"/>
                <w:color w:val="auto"/>
              </w:rPr>
            </w:pPr>
            <w:r>
              <w:rPr>
                <w:rFonts w:ascii="Arial" w:cs="Arial" w:eastAsia="Arial" w:hAnsi="Arial"/>
                <w:sz w:val="18"/>
                <w:szCs w:val="18"/>
                <w:color w:val="auto"/>
              </w:rPr>
              <w:t>Accounts payable</w:t>
            </w:r>
          </w:p>
        </w:tc>
        <w:tc>
          <w:tcPr>
            <w:tcW w:w="180" w:type="dxa"/>
            <w:vAlign w:val="bottom"/>
          </w:tcPr>
          <w:p>
            <w:pPr>
              <w:spacing w:after="0"/>
              <w:rPr>
                <w:sz w:val="18"/>
                <w:szCs w:val="18"/>
                <w:color w:val="auto"/>
              </w:rPr>
            </w:pPr>
          </w:p>
        </w:tc>
        <w:tc>
          <w:tcPr>
            <w:tcW w:w="1220" w:type="dxa"/>
            <w:vAlign w:val="bottom"/>
            <w:gridSpan w:val="2"/>
          </w:tcPr>
          <w:p>
            <w:pPr>
              <w:jc w:val="right"/>
              <w:ind w:right="600"/>
              <w:spacing w:after="0"/>
              <w:rPr>
                <w:sz w:val="20"/>
                <w:szCs w:val="20"/>
                <w:color w:val="auto"/>
              </w:rPr>
            </w:pPr>
            <w:r>
              <w:rPr>
                <w:rFonts w:ascii="Arial" w:cs="Arial" w:eastAsia="Arial" w:hAnsi="Arial"/>
                <w:sz w:val="18"/>
                <w:szCs w:val="18"/>
                <w:b w:val="1"/>
                <w:bCs w:val="1"/>
                <w:color w:val="auto"/>
              </w:rPr>
              <w:t>23.7</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(15.1)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Accrued expenses</w:t>
            </w:r>
          </w:p>
        </w:tc>
        <w:tc>
          <w:tcPr>
            <w:tcW w:w="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b w:val="1"/>
                <w:bCs w:val="1"/>
                <w:color w:val="auto"/>
              </w:rPr>
              <w:t>(1.4)</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40" w:type="dxa"/>
            <w:vAlign w:val="bottom"/>
          </w:tcPr>
          <w:p>
            <w:pPr>
              <w:ind w:left="860"/>
              <w:spacing w:after="0"/>
              <w:rPr>
                <w:sz w:val="20"/>
                <w:szCs w:val="20"/>
                <w:color w:val="auto"/>
              </w:rPr>
            </w:pPr>
            <w:r>
              <w:rPr>
                <w:rFonts w:ascii="Arial" w:cs="Arial" w:eastAsia="Arial" w:hAnsi="Arial"/>
                <w:sz w:val="18"/>
                <w:szCs w:val="18"/>
                <w:color w:val="auto"/>
              </w:rPr>
              <w:t>Income taxes payable and receivable</w:t>
            </w:r>
          </w:p>
        </w:tc>
        <w:tc>
          <w:tcPr>
            <w:tcW w:w="180" w:type="dxa"/>
            <w:vAlign w:val="bottom"/>
          </w:tcPr>
          <w:p>
            <w:pPr>
              <w:spacing w:after="0"/>
              <w:rPr>
                <w:sz w:val="18"/>
                <w:szCs w:val="18"/>
                <w:color w:val="auto"/>
              </w:rPr>
            </w:pPr>
          </w:p>
        </w:tc>
        <w:tc>
          <w:tcPr>
            <w:tcW w:w="1220" w:type="dxa"/>
            <w:vAlign w:val="bottom"/>
            <w:gridSpan w:val="2"/>
          </w:tcPr>
          <w:p>
            <w:pPr>
              <w:jc w:val="right"/>
              <w:ind w:right="600"/>
              <w:spacing w:after="0"/>
              <w:rPr>
                <w:sz w:val="20"/>
                <w:szCs w:val="20"/>
                <w:color w:val="auto"/>
              </w:rPr>
            </w:pPr>
            <w:r>
              <w:rPr>
                <w:rFonts w:ascii="Arial" w:cs="Arial" w:eastAsia="Arial" w:hAnsi="Arial"/>
                <w:sz w:val="18"/>
                <w:szCs w:val="18"/>
                <w:b w:val="1"/>
                <w:bCs w:val="1"/>
                <w:color w:val="auto"/>
              </w:rPr>
              <w:t>7.0</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Advance payments and unearned income</w:t>
            </w:r>
          </w:p>
        </w:tc>
        <w:tc>
          <w:tcPr>
            <w:tcW w:w="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b w:val="1"/>
                <w:bCs w:val="1"/>
                <w:color w:val="auto"/>
              </w:rPr>
              <w:t>3.7</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40" w:type="dxa"/>
            <w:vAlign w:val="bottom"/>
          </w:tcPr>
          <w:p>
            <w:pPr>
              <w:ind w:left="860"/>
              <w:spacing w:after="0"/>
              <w:rPr>
                <w:sz w:val="20"/>
                <w:szCs w:val="20"/>
                <w:color w:val="auto"/>
              </w:rPr>
            </w:pPr>
            <w:r>
              <w:rPr>
                <w:rFonts w:ascii="Arial" w:cs="Arial" w:eastAsia="Arial" w:hAnsi="Arial"/>
                <w:sz w:val="18"/>
                <w:szCs w:val="18"/>
                <w:color w:val="auto"/>
              </w:rPr>
              <w:t>Restructuring liabilities and other assets and liabilities</w:t>
            </w:r>
          </w:p>
        </w:tc>
        <w:tc>
          <w:tcPr>
            <w:tcW w:w="180" w:type="dxa"/>
            <w:vAlign w:val="bottom"/>
          </w:tcPr>
          <w:p>
            <w:pPr>
              <w:spacing w:after="0"/>
              <w:rPr>
                <w:sz w:val="18"/>
                <w:szCs w:val="18"/>
                <w:color w:val="auto"/>
              </w:rPr>
            </w:pPr>
          </w:p>
        </w:tc>
        <w:tc>
          <w:tcPr>
            <w:tcW w:w="122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rPr>
              <w:t>(3.0)</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(0.3)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92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924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Net cash (used in) provided by operating activities</w:t>
            </w:r>
          </w:p>
        </w:tc>
        <w:tc>
          <w:tcPr>
            <w:tcW w:w="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b w:val="1"/>
                <w:bCs w:val="1"/>
                <w:color w:val="auto"/>
              </w:rPr>
              <w:t>(40.5)</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40" w:type="dxa"/>
            <w:vAlign w:val="bottom"/>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Cash received from sale of NetBoss assets</w:t>
            </w:r>
          </w:p>
        </w:tc>
        <w:tc>
          <w:tcPr>
            <w:tcW w:w="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b w:val="1"/>
                <w:bCs w:val="1"/>
                <w:color w:val="auto"/>
              </w:rPr>
              <w:t>3.8</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40" w:type="dxa"/>
            <w:vAlign w:val="bottom"/>
          </w:tcPr>
          <w:p>
            <w:pPr>
              <w:ind w:left="420"/>
              <w:spacing w:after="0"/>
              <w:rPr>
                <w:sz w:val="20"/>
                <w:szCs w:val="20"/>
                <w:color w:val="auto"/>
              </w:rPr>
            </w:pPr>
            <w:r>
              <w:rPr>
                <w:rFonts w:ascii="Arial" w:cs="Arial" w:eastAsia="Arial" w:hAnsi="Arial"/>
                <w:sz w:val="18"/>
                <w:szCs w:val="18"/>
                <w:color w:val="auto"/>
              </w:rPr>
              <w:t>Cash paid related to acquisition of Telsima</w:t>
            </w:r>
          </w:p>
        </w:tc>
        <w:tc>
          <w:tcPr>
            <w:tcW w:w="180" w:type="dxa"/>
            <w:vAlign w:val="bottom"/>
          </w:tcPr>
          <w:p>
            <w:pPr>
              <w:spacing w:after="0"/>
              <w:rPr>
                <w:sz w:val="18"/>
                <w:szCs w:val="18"/>
                <w:color w:val="auto"/>
              </w:rPr>
            </w:pPr>
          </w:p>
        </w:tc>
        <w:tc>
          <w:tcPr>
            <w:tcW w:w="1220" w:type="dxa"/>
            <w:vAlign w:val="bottom"/>
            <w:gridSpan w:val="2"/>
          </w:tcPr>
          <w:p>
            <w:pPr>
              <w:jc w:val="right"/>
              <w:ind w:right="700"/>
              <w:spacing w:after="0"/>
              <w:rPr>
                <w:sz w:val="20"/>
                <w:szCs w:val="20"/>
                <w:color w:val="auto"/>
              </w:rPr>
            </w:pPr>
            <w:r>
              <w:rPr>
                <w:rFonts w:ascii="Arial" w:cs="Arial" w:eastAsia="Arial" w:hAnsi="Arial"/>
                <w:sz w:val="18"/>
                <w:szCs w:val="18"/>
                <w:b w:val="1"/>
                <w:bCs w:val="1"/>
                <w:color w:val="auto"/>
              </w:rPr>
              <w:t>—</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Sales and maturities of short-term investments</w:t>
            </w:r>
          </w:p>
        </w:tc>
        <w:tc>
          <w:tcPr>
            <w:tcW w:w="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b w:val="1"/>
                <w:bCs w:val="1"/>
                <w:color w:val="auto"/>
              </w:rPr>
              <w:t>—</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40" w:type="dxa"/>
            <w:vAlign w:val="bottom"/>
          </w:tcPr>
          <w:p>
            <w:pPr>
              <w:ind w:left="420"/>
              <w:spacing w:after="0"/>
              <w:rPr>
                <w:sz w:val="20"/>
                <w:szCs w:val="20"/>
                <w:color w:val="auto"/>
              </w:rPr>
            </w:pPr>
            <w:r>
              <w:rPr>
                <w:rFonts w:ascii="Arial" w:cs="Arial" w:eastAsia="Arial" w:hAnsi="Arial"/>
                <w:sz w:val="18"/>
                <w:szCs w:val="18"/>
                <w:color w:val="auto"/>
              </w:rPr>
              <w:t>Additions of property, plant and equipment</w:t>
            </w:r>
          </w:p>
        </w:tc>
        <w:tc>
          <w:tcPr>
            <w:tcW w:w="180" w:type="dxa"/>
            <w:vAlign w:val="bottom"/>
          </w:tcPr>
          <w:p>
            <w:pPr>
              <w:spacing w:after="0"/>
              <w:rPr>
                <w:sz w:val="18"/>
                <w:szCs w:val="18"/>
                <w:color w:val="auto"/>
              </w:rPr>
            </w:pPr>
          </w:p>
        </w:tc>
        <w:tc>
          <w:tcPr>
            <w:tcW w:w="122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rPr>
              <w:t>(3.4)</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Additions of capitalized software</w:t>
            </w:r>
          </w:p>
        </w:tc>
        <w:tc>
          <w:tcPr>
            <w:tcW w:w="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b w:val="1"/>
                <w:bCs w:val="1"/>
                <w:color w:val="auto"/>
              </w:rPr>
              <w:t>(0.7)</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(1.5)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40" w:type="dxa"/>
            <w:vAlign w:val="bottom"/>
            <w:vMerge w:val="restart"/>
          </w:tcPr>
          <w:p>
            <w:pPr>
              <w:ind w:left="1280"/>
              <w:spacing w:after="0"/>
              <w:rPr>
                <w:sz w:val="20"/>
                <w:szCs w:val="20"/>
                <w:color w:val="auto"/>
              </w:rPr>
            </w:pPr>
            <w:r>
              <w:rPr>
                <w:rFonts w:ascii="Arial" w:cs="Arial" w:eastAsia="Arial" w:hAnsi="Arial"/>
                <w:sz w:val="18"/>
                <w:szCs w:val="18"/>
                <w:color w:val="auto"/>
              </w:rPr>
              <w:t>Net cash used in investing activities</w:t>
            </w: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9240" w:type="dxa"/>
            <w:vAlign w:val="bottom"/>
            <w:vMerge w:val="continue"/>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rPr>
              <w:t>(0.3)</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(14.8)</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40" w:type="dxa"/>
            <w:vAlign w:val="bottom"/>
          </w:tcPr>
          <w:p>
            <w:pPr>
              <w:ind w:left="420"/>
              <w:spacing w:after="0"/>
              <w:rPr>
                <w:sz w:val="20"/>
                <w:szCs w:val="20"/>
                <w:color w:val="auto"/>
              </w:rPr>
            </w:pPr>
            <w:r>
              <w:rPr>
                <w:rFonts w:ascii="Arial" w:cs="Arial" w:eastAsia="Arial" w:hAnsi="Arial"/>
                <w:sz w:val="18"/>
                <w:szCs w:val="18"/>
                <w:color w:val="auto"/>
              </w:rPr>
              <w:t>Proceeds from short-term debt arrangement</w:t>
            </w:r>
          </w:p>
        </w:tc>
        <w:tc>
          <w:tcPr>
            <w:tcW w:w="180" w:type="dxa"/>
            <w:vAlign w:val="bottom"/>
          </w:tcPr>
          <w:p>
            <w:pPr>
              <w:spacing w:after="0"/>
              <w:rPr>
                <w:sz w:val="18"/>
                <w:szCs w:val="18"/>
                <w:color w:val="auto"/>
              </w:rPr>
            </w:pPr>
          </w:p>
        </w:tc>
        <w:tc>
          <w:tcPr>
            <w:tcW w:w="1220" w:type="dxa"/>
            <w:vAlign w:val="bottom"/>
            <w:gridSpan w:val="2"/>
          </w:tcPr>
          <w:p>
            <w:pPr>
              <w:jc w:val="right"/>
              <w:ind w:right="600"/>
              <w:spacing w:after="0"/>
              <w:rPr>
                <w:sz w:val="20"/>
                <w:szCs w:val="20"/>
                <w:color w:val="auto"/>
              </w:rPr>
            </w:pPr>
            <w:r>
              <w:rPr>
                <w:rFonts w:ascii="Arial" w:cs="Arial" w:eastAsia="Arial" w:hAnsi="Arial"/>
                <w:sz w:val="18"/>
                <w:szCs w:val="18"/>
                <w:b w:val="1"/>
                <w:bCs w:val="1"/>
                <w:color w:val="auto"/>
              </w:rPr>
              <w:t>6.0</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Payments on short-term debt arrangement</w:t>
            </w:r>
          </w:p>
        </w:tc>
        <w:tc>
          <w:tcPr>
            <w:tcW w:w="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b w:val="1"/>
                <w:bCs w:val="1"/>
                <w:color w:val="auto"/>
              </w:rPr>
              <w:t>(5.0)</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40" w:type="dxa"/>
            <w:vAlign w:val="bottom"/>
          </w:tcPr>
          <w:p>
            <w:pPr>
              <w:ind w:left="420"/>
              <w:spacing w:after="0"/>
              <w:rPr>
                <w:sz w:val="20"/>
                <w:szCs w:val="20"/>
                <w:color w:val="auto"/>
              </w:rPr>
            </w:pPr>
            <w:r>
              <w:rPr>
                <w:rFonts w:ascii="Arial" w:cs="Arial" w:eastAsia="Arial" w:hAnsi="Arial"/>
                <w:sz w:val="18"/>
                <w:szCs w:val="18"/>
                <w:color w:val="auto"/>
              </w:rPr>
              <w:t>Payments on capital lease obligations</w:t>
            </w:r>
          </w:p>
        </w:tc>
        <w:tc>
          <w:tcPr>
            <w:tcW w:w="180" w:type="dxa"/>
            <w:vAlign w:val="bottom"/>
          </w:tcPr>
          <w:p>
            <w:pPr>
              <w:spacing w:after="0"/>
              <w:rPr>
                <w:sz w:val="18"/>
                <w:szCs w:val="18"/>
                <w:color w:val="auto"/>
              </w:rPr>
            </w:pPr>
          </w:p>
        </w:tc>
        <w:tc>
          <w:tcPr>
            <w:tcW w:w="620" w:type="dxa"/>
            <w:vAlign w:val="bottom"/>
          </w:tcPr>
          <w:p>
            <w:pPr>
              <w:jc w:val="right"/>
              <w:ind w:right="14"/>
              <w:spacing w:after="0"/>
              <w:rPr>
                <w:sz w:val="20"/>
                <w:szCs w:val="20"/>
                <w:color w:val="auto"/>
              </w:rPr>
            </w:pPr>
            <w:r>
              <w:rPr>
                <w:rFonts w:ascii="Arial" w:cs="Arial" w:eastAsia="Arial" w:hAnsi="Arial"/>
                <w:sz w:val="18"/>
                <w:szCs w:val="18"/>
                <w:b w:val="1"/>
                <w:bCs w:val="1"/>
                <w:color w:val="auto"/>
              </w:rPr>
              <w:t>—</w:t>
            </w:r>
          </w:p>
        </w:tc>
        <w:tc>
          <w:tcPr>
            <w:tcW w:w="6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(0.2)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92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924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Net cash provided by (used in) financing activities</w:t>
            </w: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w:t>
            </w:r>
          </w:p>
        </w:tc>
        <w:tc>
          <w:tcPr>
            <w:tcW w:w="6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(0.2)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240" w:type="dxa"/>
            <w:vAlign w:val="bottom"/>
          </w:tcPr>
          <w:p>
            <w:pPr>
              <w:spacing w:after="0"/>
              <w:rPr>
                <w:sz w:val="20"/>
                <w:szCs w:val="20"/>
                <w:color w:val="auto"/>
              </w:rPr>
            </w:pPr>
            <w:r>
              <w:rPr>
                <w:rFonts w:ascii="Arial" w:cs="Arial" w:eastAsia="Arial" w:hAnsi="Arial"/>
                <w:sz w:val="18"/>
                <w:szCs w:val="18"/>
                <w:color w:val="auto"/>
              </w:rPr>
              <w:t>Effect of exchange rate changes on cash and cash equivalents</w:t>
            </w:r>
          </w:p>
        </w:tc>
        <w:tc>
          <w:tcPr>
            <w:tcW w:w="1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0.5</w:t>
            </w:r>
          </w:p>
        </w:tc>
        <w:tc>
          <w:tcPr>
            <w:tcW w:w="6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0.7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decrease in cash and cash equivalents</w:t>
            </w:r>
          </w:p>
        </w:tc>
        <w:tc>
          <w:tcPr>
            <w:tcW w:w="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b w:val="1"/>
                <w:bCs w:val="1"/>
                <w:color w:val="auto"/>
              </w:rPr>
              <w:t>(39.3)</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(10.4)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240" w:type="dxa"/>
            <w:vAlign w:val="bottom"/>
          </w:tcPr>
          <w:p>
            <w:pPr>
              <w:spacing w:after="0"/>
              <w:rPr>
                <w:sz w:val="20"/>
                <w:szCs w:val="20"/>
                <w:color w:val="auto"/>
              </w:rPr>
            </w:pPr>
            <w:r>
              <w:rPr>
                <w:rFonts w:ascii="Arial" w:cs="Arial" w:eastAsia="Arial" w:hAnsi="Arial"/>
                <w:sz w:val="18"/>
                <w:szCs w:val="18"/>
                <w:b w:val="1"/>
                <w:bCs w:val="1"/>
                <w:color w:val="auto"/>
              </w:rPr>
              <w:t>Cash and cash equivalents, beginning of period</w:t>
            </w:r>
          </w:p>
        </w:tc>
        <w:tc>
          <w:tcPr>
            <w:tcW w:w="1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141.7</w:t>
            </w:r>
          </w:p>
        </w:tc>
        <w:tc>
          <w:tcPr>
            <w:tcW w:w="6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136.8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and cash equivalents, end of period</w:t>
            </w:r>
          </w:p>
        </w:tc>
        <w:tc>
          <w:tcPr>
            <w:tcW w:w="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12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b w:val="1"/>
                <w:bCs w:val="1"/>
                <w:color w:val="auto"/>
              </w:rPr>
              <w:t>102.4</w:t>
            </w:r>
          </w:p>
        </w:tc>
        <w:tc>
          <w:tcPr>
            <w:tcW w:w="160" w:type="dxa"/>
            <w:vAlign w:val="bottom"/>
            <w:gridSpan w:val="2"/>
            <w:shd w:val="clear" w:color="auto" w:fill="CCEEFF"/>
          </w:tcPr>
          <w:p>
            <w:pPr>
              <w:ind w:left="40"/>
              <w:spacing w:after="0"/>
              <w:rPr>
                <w:sz w:val="20"/>
                <w:szCs w:val="20"/>
                <w:color w:val="auto"/>
              </w:rPr>
            </w:pPr>
            <w:r>
              <w:rPr>
                <w:rFonts w:ascii="Arial" w:cs="Arial" w:eastAsia="Arial" w:hAnsi="Arial"/>
                <w:sz w:val="18"/>
                <w:szCs w:val="18"/>
                <w:b w:val="1"/>
                <w:bCs w:val="1"/>
                <w:color w:val="auto"/>
                <w:w w:val="99"/>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126.4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December 31, 2010</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Basis of Presentation</w:t>
      </w:r>
    </w:p>
    <w:p>
      <w:pPr>
        <w:spacing w:after="0" w:line="96"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The accompanying condensed consolidated financial statements of Aviat Networks, Inc. and its subsidiaries (“we,” “us,” and “our”) have been prepared by us, without an audit, in accordance with U.S. generally accepted accounting principles for interim financial information and with the rules and regulations of the Securities and Exchange Commission (“SEC”). Accordingly, they do not include all information and footnotes necessary for a complete presentation of financial position, results of operations and cash flows in conformity with U.S. generally accepted accounting principles. In the opinion of management, such interim financial statements reflect all adjustments (consisting of normal recurring adjustments) considered necessary for a fair presentation of financial position, results of operations and cash flows for such periods.</w:t>
      </w:r>
    </w:p>
    <w:p>
      <w:pPr>
        <w:spacing w:after="0" w:line="144"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The results for the quarter and two quarters ended December 31, 2010 (the “second quarter and the first two quarters of fiscal 2011”) are not necessarily indicative of the results that may be expected for the full fiscal year or any subsequent period. The balance sheet as of July 2, 2010 has been derived from the audited financial statements but does not include all of the information and footnotes required by U.S. generally accepted accounting principles for annual financial statements. We provide complete financial statements in our Annual Report on Form 10-K, which includes information and footnotes required by the rules and regulations of the SEC. The information included in this Quarterly Report on Form 10-Q (this “Report”) should be read in conjunction with the Management’s Discussion and Analysis of Financial Condition and Results of Operations, and the Consolidated Financial Statements and accompanying Notes to Consolidated Financial Statements included in our Annual Report on Form 10-K for the fiscal year ended July 2, 2010 (“Fiscal 2010 Form 10-K”).</w:t>
      </w:r>
    </w:p>
    <w:p>
      <w:pPr>
        <w:spacing w:after="0" w:line="118" w:lineRule="exact"/>
        <w:rPr>
          <w:sz w:val="20"/>
          <w:szCs w:val="20"/>
          <w:color w:val="auto"/>
        </w:rPr>
      </w:pPr>
    </w:p>
    <w:p>
      <w:pPr>
        <w:ind w:right="220" w:firstLine="456"/>
        <w:spacing w:after="0" w:line="370" w:lineRule="auto"/>
        <w:rPr>
          <w:sz w:val="20"/>
          <w:szCs w:val="20"/>
          <w:color w:val="auto"/>
        </w:rPr>
      </w:pPr>
      <w:r>
        <w:rPr>
          <w:rFonts w:ascii="Arial" w:cs="Arial" w:eastAsia="Arial" w:hAnsi="Arial"/>
          <w:sz w:val="15"/>
          <w:szCs w:val="15"/>
          <w:color w:val="auto"/>
        </w:rPr>
        <w:t>The preparation of financial statements in accordance with U.S. generally accepted accounting principles requires us to make estimates and assumptions that affect the amounts reported in the financial statements and accompanying notes. Actual results could differ from those estimates and assumptions.</w:t>
      </w:r>
    </w:p>
    <w:p>
      <w:pPr>
        <w:spacing w:after="0" w:line="62"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Certain immaterial amounts in the second and first two quarters of fiscal 2010 condensed consolidated financial statements have been reclassified to conform to the same fiscal 2011 period presentation. In addition, the line items of revenue from product sales, revenues from services, cost of product sales and cost of services on our consolidated statement of operations for the first two quarters of fiscal 2011 reflected a $4.3 million reclassification from services revenue to product sales revenue, and a $0.7 million reclassification from cost of services to cost of product sales for the first quarter of fiscal 2011. The reclassifications did not impact the consolidated gross margin or net loss for the first two quarters of fiscal 2011.</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New Accounting Pronouncements</w:t>
      </w:r>
    </w:p>
    <w:p>
      <w:pPr>
        <w:spacing w:after="0" w:line="96" w:lineRule="exact"/>
        <w:rPr>
          <w:sz w:val="20"/>
          <w:szCs w:val="20"/>
          <w:color w:val="auto"/>
        </w:rPr>
      </w:pPr>
    </w:p>
    <w:p>
      <w:pPr>
        <w:ind w:right="140" w:firstLine="456"/>
        <w:spacing w:after="0" w:line="306" w:lineRule="auto"/>
        <w:rPr>
          <w:sz w:val="20"/>
          <w:szCs w:val="20"/>
          <w:color w:val="auto"/>
        </w:rPr>
      </w:pPr>
      <w:r>
        <w:rPr>
          <w:rFonts w:ascii="Arial" w:cs="Arial" w:eastAsia="Arial" w:hAnsi="Arial"/>
          <w:sz w:val="16"/>
          <w:szCs w:val="16"/>
          <w:color w:val="auto"/>
        </w:rPr>
        <w:t>From time to time, new accounting pronouncements are issued by the Financial Accounting Standards Board or other standards setting bodies that are adopted by us as of the specified effective date. Unless otherwise discussed, we believe the impact of recently issued standards that are not yet effective will not have a material impact on our consolidated financial position, results of operations and cash flows upon adoption.</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Accumulated Other Comprehensive Loss and Comprehensive Loss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changes in components of our accumulated other comprehensive loss during the first two quarters of fiscal 2011 and fiscal 2010 were as follows:</w:t>
      </w:r>
    </w:p>
    <w:p>
      <w:pPr>
        <w:spacing w:after="0" w:line="218"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382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3"/>
              </w:rPr>
              <w:t>Total</w:t>
            </w:r>
          </w:p>
        </w:tc>
        <w:tc>
          <w:tcPr>
            <w:tcW w:w="0" w:type="dxa"/>
            <w:vAlign w:val="bottom"/>
          </w:tcPr>
          <w:p>
            <w:pPr>
              <w:spacing w:after="0"/>
              <w:rPr>
                <w:sz w:val="1"/>
                <w:szCs w:val="1"/>
                <w:color w:val="auto"/>
              </w:rPr>
            </w:pPr>
          </w:p>
        </w:tc>
      </w:tr>
      <w:tr>
        <w:trPr>
          <w:trHeight w:val="149"/>
        </w:trPr>
        <w:tc>
          <w:tcPr>
            <w:tcW w:w="382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2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86"/>
              </w:rPr>
              <w:t>Accumulated</w:t>
            </w:r>
          </w:p>
        </w:tc>
        <w:tc>
          <w:tcPr>
            <w:tcW w:w="0" w:type="dxa"/>
            <w:vAlign w:val="bottom"/>
          </w:tcPr>
          <w:p>
            <w:pPr>
              <w:spacing w:after="0"/>
              <w:rPr>
                <w:sz w:val="1"/>
                <w:szCs w:val="1"/>
                <w:color w:val="auto"/>
              </w:rPr>
            </w:pPr>
          </w:p>
        </w:tc>
      </w:tr>
      <w:tr>
        <w:trPr>
          <w:trHeight w:val="149"/>
        </w:trPr>
        <w:tc>
          <w:tcPr>
            <w:tcW w:w="382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tcPr>
          <w:p>
            <w:pPr>
              <w:jc w:val="right"/>
              <w:ind w:right="458"/>
              <w:spacing w:after="0" w:line="149" w:lineRule="exact"/>
              <w:rPr>
                <w:sz w:val="20"/>
                <w:szCs w:val="20"/>
                <w:color w:val="auto"/>
              </w:rPr>
            </w:pPr>
            <w:r>
              <w:rPr>
                <w:rFonts w:ascii="Arial" w:cs="Arial" w:eastAsia="Arial" w:hAnsi="Arial"/>
                <w:sz w:val="14"/>
                <w:szCs w:val="14"/>
                <w:b w:val="1"/>
                <w:bCs w:val="1"/>
                <w:color w:val="auto"/>
                <w:w w:val="85"/>
              </w:rPr>
              <w:t>Foreign</w:t>
            </w: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6"/>
              </w:rPr>
              <w:t>Other</w:t>
            </w:r>
          </w:p>
        </w:tc>
        <w:tc>
          <w:tcPr>
            <w:tcW w:w="0" w:type="dxa"/>
            <w:vAlign w:val="bottom"/>
          </w:tcPr>
          <w:p>
            <w:pPr>
              <w:spacing w:after="0"/>
              <w:rPr>
                <w:sz w:val="1"/>
                <w:szCs w:val="1"/>
                <w:color w:val="auto"/>
              </w:rPr>
            </w:pPr>
          </w:p>
        </w:tc>
      </w:tr>
      <w:tr>
        <w:trPr>
          <w:trHeight w:val="149"/>
        </w:trPr>
        <w:tc>
          <w:tcPr>
            <w:tcW w:w="382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100" w:type="dxa"/>
            <w:vAlign w:val="bottom"/>
            <w:gridSpan w:val="3"/>
          </w:tcPr>
          <w:p>
            <w:pPr>
              <w:jc w:val="right"/>
              <w:ind w:right="398"/>
              <w:spacing w:after="0" w:line="149" w:lineRule="exact"/>
              <w:rPr>
                <w:sz w:val="20"/>
                <w:szCs w:val="20"/>
                <w:color w:val="auto"/>
              </w:rPr>
            </w:pPr>
            <w:r>
              <w:rPr>
                <w:rFonts w:ascii="Arial" w:cs="Arial" w:eastAsia="Arial" w:hAnsi="Arial"/>
                <w:sz w:val="14"/>
                <w:szCs w:val="14"/>
                <w:b w:val="1"/>
                <w:bCs w:val="1"/>
                <w:color w:val="auto"/>
                <w:w w:val="97"/>
              </w:rPr>
              <w:t>Currency</w:t>
            </w: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gridSpan w:val="2"/>
          </w:tcPr>
          <w:p>
            <w:pPr>
              <w:jc w:val="right"/>
              <w:ind w:right="778"/>
              <w:spacing w:after="0" w:line="149" w:lineRule="exact"/>
              <w:rPr>
                <w:sz w:val="20"/>
                <w:szCs w:val="20"/>
                <w:color w:val="auto"/>
              </w:rPr>
            </w:pPr>
            <w:r>
              <w:rPr>
                <w:rFonts w:ascii="Arial" w:cs="Arial" w:eastAsia="Arial" w:hAnsi="Arial"/>
                <w:sz w:val="14"/>
                <w:szCs w:val="14"/>
                <w:b w:val="1"/>
                <w:bCs w:val="1"/>
                <w:color w:val="auto"/>
                <w:w w:val="82"/>
              </w:rPr>
              <w:t>Hedging</w:t>
            </w:r>
          </w:p>
        </w:tc>
        <w:tc>
          <w:tcPr>
            <w:tcW w:w="102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w w:val="93"/>
              </w:rPr>
              <w:t>Comprehensive</w:t>
            </w:r>
          </w:p>
        </w:tc>
        <w:tc>
          <w:tcPr>
            <w:tcW w:w="0" w:type="dxa"/>
            <w:vAlign w:val="bottom"/>
          </w:tcPr>
          <w:p>
            <w:pPr>
              <w:spacing w:after="0"/>
              <w:rPr>
                <w:sz w:val="1"/>
                <w:szCs w:val="1"/>
                <w:color w:val="auto"/>
              </w:rPr>
            </w:pPr>
          </w:p>
        </w:tc>
      </w:tr>
      <w:tr>
        <w:trPr>
          <w:trHeight w:val="161"/>
        </w:trPr>
        <w:tc>
          <w:tcPr>
            <w:tcW w:w="382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680" w:type="dxa"/>
            <w:vAlign w:val="bottom"/>
            <w:gridSpan w:val="2"/>
          </w:tcPr>
          <w:p>
            <w:pPr>
              <w:ind w:left="20"/>
              <w:spacing w:after="0"/>
              <w:rPr>
                <w:sz w:val="20"/>
                <w:szCs w:val="20"/>
                <w:color w:val="auto"/>
              </w:rPr>
            </w:pPr>
            <w:r>
              <w:rPr>
                <w:rFonts w:ascii="Arial" w:cs="Arial" w:eastAsia="Arial" w:hAnsi="Arial"/>
                <w:sz w:val="14"/>
                <w:szCs w:val="14"/>
                <w:b w:val="1"/>
                <w:bCs w:val="1"/>
                <w:color w:val="auto"/>
                <w:w w:val="84"/>
              </w:rPr>
              <w:t>Translation</w:t>
            </w:r>
          </w:p>
        </w:tc>
        <w:tc>
          <w:tcPr>
            <w:tcW w:w="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40" w:type="dxa"/>
            <w:vAlign w:val="bottom"/>
            <w:gridSpan w:val="3"/>
          </w:tcPr>
          <w:p>
            <w:pPr>
              <w:spacing w:after="0"/>
              <w:rPr>
                <w:sz w:val="20"/>
                <w:szCs w:val="20"/>
                <w:color w:val="auto"/>
              </w:rPr>
            </w:pPr>
            <w:r>
              <w:rPr>
                <w:rFonts w:ascii="Arial" w:cs="Arial" w:eastAsia="Arial" w:hAnsi="Arial"/>
                <w:sz w:val="14"/>
                <w:szCs w:val="14"/>
                <w:b w:val="1"/>
                <w:bCs w:val="1"/>
                <w:color w:val="auto"/>
              </w:rPr>
              <w:t>Derivatives</w:t>
            </w:r>
          </w:p>
        </w:tc>
        <w:tc>
          <w:tcPr>
            <w:tcW w:w="200" w:type="dxa"/>
            <w:vAlign w:val="bottom"/>
          </w:tcPr>
          <w:p>
            <w:pPr>
              <w:spacing w:after="0"/>
              <w:rPr>
                <w:sz w:val="14"/>
                <w:szCs w:val="14"/>
                <w:color w:val="auto"/>
              </w:rPr>
            </w:pPr>
          </w:p>
        </w:tc>
        <w:tc>
          <w:tcPr>
            <w:tcW w:w="8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5"/>
              </w:rPr>
              <w:t>Loss</w:t>
            </w:r>
          </w:p>
        </w:tc>
        <w:tc>
          <w:tcPr>
            <w:tcW w:w="0" w:type="dxa"/>
            <w:vAlign w:val="bottom"/>
          </w:tcPr>
          <w:p>
            <w:pPr>
              <w:spacing w:after="0"/>
              <w:rPr>
                <w:sz w:val="1"/>
                <w:szCs w:val="1"/>
                <w:color w:val="auto"/>
              </w:rPr>
            </w:pPr>
          </w:p>
        </w:tc>
      </w:tr>
      <w:tr>
        <w:trPr>
          <w:trHeight w:val="20"/>
        </w:trPr>
        <w:tc>
          <w:tcPr>
            <w:tcW w:w="38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382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gridSpan w:val="2"/>
          </w:tcPr>
          <w:p>
            <w:pPr>
              <w:jc w:val="right"/>
              <w:ind w:right="558"/>
              <w:spacing w:after="0" w:line="142" w:lineRule="exact"/>
              <w:rPr>
                <w:sz w:val="20"/>
                <w:szCs w:val="20"/>
                <w:color w:val="auto"/>
              </w:rPr>
            </w:pPr>
            <w:r>
              <w:rPr>
                <w:rFonts w:ascii="Arial" w:cs="Arial" w:eastAsia="Arial" w:hAnsi="Arial"/>
                <w:sz w:val="14"/>
                <w:szCs w:val="14"/>
                <w:b w:val="1"/>
                <w:bCs w:val="1"/>
                <w:color w:val="auto"/>
                <w:w w:val="86"/>
              </w:rPr>
              <w:t>(In millions)</w:t>
            </w: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Balance as of July 2, 2010</w:t>
            </w:r>
          </w:p>
        </w:tc>
        <w:tc>
          <w:tcPr>
            <w:tcW w:w="1940" w:type="dxa"/>
            <w:vAlign w:val="bottom"/>
            <w:gridSpan w:val="2"/>
            <w:shd w:val="clear" w:color="auto" w:fill="CCEEFF"/>
          </w:tcPr>
          <w:p>
            <w:pPr>
              <w:ind w:left="1840"/>
              <w:spacing w:after="0"/>
              <w:rPr>
                <w:sz w:val="20"/>
                <w:szCs w:val="20"/>
                <w:color w:val="auto"/>
              </w:rPr>
            </w:pPr>
            <w:r>
              <w:rPr>
                <w:rFonts w:ascii="Arial" w:cs="Arial" w:eastAsia="Arial" w:hAnsi="Arial"/>
                <w:sz w:val="18"/>
                <w:szCs w:val="18"/>
                <w:b w:val="1"/>
                <w:bCs w:val="1"/>
                <w:color w:val="auto"/>
                <w:w w:val="79"/>
              </w:rPr>
              <w:t>$</w:t>
            </w:r>
          </w:p>
        </w:tc>
        <w:tc>
          <w:tcPr>
            <w:tcW w:w="1000" w:type="dxa"/>
            <w:vAlign w:val="bottom"/>
            <w:gridSpan w:val="2"/>
            <w:shd w:val="clear" w:color="auto" w:fill="CCEEFF"/>
          </w:tcPr>
          <w:p>
            <w:pPr>
              <w:jc w:val="right"/>
              <w:ind w:right="278"/>
              <w:spacing w:after="0"/>
              <w:rPr>
                <w:sz w:val="20"/>
                <w:szCs w:val="20"/>
                <w:color w:val="auto"/>
              </w:rPr>
            </w:pPr>
            <w:r>
              <w:rPr>
                <w:rFonts w:ascii="Arial" w:cs="Arial" w:eastAsia="Arial" w:hAnsi="Arial"/>
                <w:sz w:val="18"/>
                <w:szCs w:val="18"/>
                <w:b w:val="1"/>
                <w:bCs w:val="1"/>
                <w:color w:val="auto"/>
              </w:rPr>
              <w:t>(2.9)</w:t>
            </w:r>
          </w:p>
        </w:tc>
        <w:tc>
          <w:tcPr>
            <w:tcW w:w="460" w:type="dxa"/>
            <w:vAlign w:val="bottom"/>
            <w:gridSpan w:val="2"/>
            <w:shd w:val="clear" w:color="auto" w:fill="CCEEFF"/>
          </w:tcPr>
          <w:p>
            <w:pPr>
              <w:ind w:left="360"/>
              <w:spacing w:after="0"/>
              <w:rPr>
                <w:sz w:val="20"/>
                <w:szCs w:val="20"/>
                <w:color w:val="auto"/>
              </w:rPr>
            </w:pPr>
            <w:r>
              <w:rPr>
                <w:rFonts w:ascii="Arial" w:cs="Arial" w:eastAsia="Arial" w:hAnsi="Arial"/>
                <w:sz w:val="18"/>
                <w:szCs w:val="18"/>
                <w:b w:val="1"/>
                <w:bCs w:val="1"/>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0.3</w:t>
            </w: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(2.6)</w:t>
            </w:r>
          </w:p>
        </w:tc>
        <w:tc>
          <w:tcPr>
            <w:tcW w:w="0" w:type="dxa"/>
            <w:vAlign w:val="bottom"/>
          </w:tcPr>
          <w:p>
            <w:pPr>
              <w:spacing w:after="0"/>
              <w:rPr>
                <w:sz w:val="1"/>
                <w:szCs w:val="1"/>
                <w:color w:val="auto"/>
              </w:rPr>
            </w:pPr>
          </w:p>
        </w:tc>
      </w:tr>
      <w:tr>
        <w:trPr>
          <w:trHeight w:val="216"/>
        </w:trPr>
        <w:tc>
          <w:tcPr>
            <w:tcW w:w="3820" w:type="dxa"/>
            <w:vAlign w:val="bottom"/>
          </w:tcPr>
          <w:p>
            <w:pPr>
              <w:spacing w:after="0"/>
              <w:rPr>
                <w:sz w:val="20"/>
                <w:szCs w:val="20"/>
                <w:color w:val="auto"/>
              </w:rPr>
            </w:pPr>
            <w:r>
              <w:rPr>
                <w:rFonts w:ascii="Arial" w:cs="Arial" w:eastAsia="Arial" w:hAnsi="Arial"/>
                <w:sz w:val="18"/>
                <w:szCs w:val="18"/>
                <w:color w:val="auto"/>
              </w:rPr>
              <w:t>Foreign currency translation loss</w:t>
            </w:r>
          </w:p>
        </w:tc>
        <w:tc>
          <w:tcPr>
            <w:tcW w:w="1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278"/>
              <w:spacing w:after="0"/>
              <w:rPr>
                <w:sz w:val="20"/>
                <w:szCs w:val="20"/>
                <w:color w:val="auto"/>
              </w:rPr>
            </w:pPr>
            <w:r>
              <w:rPr>
                <w:rFonts w:ascii="Arial" w:cs="Arial" w:eastAsia="Arial" w:hAnsi="Arial"/>
                <w:sz w:val="18"/>
                <w:szCs w:val="18"/>
                <w:b w:val="1"/>
                <w:bCs w:val="1"/>
                <w:color w:val="auto"/>
              </w:rPr>
              <w:t>(0.3)</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778"/>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(0.3)</w:t>
            </w:r>
          </w:p>
        </w:tc>
        <w:tc>
          <w:tcPr>
            <w:tcW w:w="0" w:type="dxa"/>
            <w:vAlign w:val="bottom"/>
          </w:tcPr>
          <w:p>
            <w:pPr>
              <w:spacing w:after="0"/>
              <w:rPr>
                <w:sz w:val="1"/>
                <w:szCs w:val="1"/>
                <w:color w:val="auto"/>
              </w:rPr>
            </w:pPr>
          </w:p>
        </w:tc>
      </w:tr>
      <w:tr>
        <w:trPr>
          <w:trHeight w:val="216"/>
        </w:trPr>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Net unrealized loss on hedging activities</w:t>
            </w:r>
          </w:p>
        </w:tc>
        <w:tc>
          <w:tcPr>
            <w:tcW w:w="1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4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38"/>
              <w:spacing w:after="0"/>
              <w:rPr>
                <w:sz w:val="20"/>
                <w:szCs w:val="20"/>
                <w:color w:val="auto"/>
              </w:rPr>
            </w:pPr>
            <w:r>
              <w:rPr>
                <w:rFonts w:ascii="Arial" w:cs="Arial" w:eastAsia="Arial" w:hAnsi="Arial"/>
                <w:sz w:val="18"/>
                <w:szCs w:val="18"/>
                <w:b w:val="1"/>
                <w:bCs w:val="1"/>
                <w:color w:val="auto"/>
              </w:rPr>
              <w:t>(0.1)</w:t>
            </w: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(0.1)</w:t>
            </w:r>
          </w:p>
        </w:tc>
        <w:tc>
          <w:tcPr>
            <w:tcW w:w="0" w:type="dxa"/>
            <w:vAlign w:val="bottom"/>
          </w:tcPr>
          <w:p>
            <w:pPr>
              <w:spacing w:after="0"/>
              <w:rPr>
                <w:sz w:val="1"/>
                <w:szCs w:val="1"/>
                <w:color w:val="auto"/>
              </w:rPr>
            </w:pPr>
          </w:p>
        </w:tc>
      </w:tr>
      <w:tr>
        <w:trPr>
          <w:trHeight w:val="20"/>
        </w:trPr>
        <w:tc>
          <w:tcPr>
            <w:tcW w:w="3820" w:type="dxa"/>
            <w:vAlign w:val="bottom"/>
            <w:vMerge w:val="restart"/>
          </w:tcPr>
          <w:p>
            <w:pPr>
              <w:spacing w:after="0"/>
              <w:rPr>
                <w:sz w:val="20"/>
                <w:szCs w:val="20"/>
                <w:color w:val="auto"/>
              </w:rPr>
            </w:pPr>
            <w:r>
              <w:rPr>
                <w:rFonts w:ascii="Arial" w:cs="Arial" w:eastAsia="Arial" w:hAnsi="Arial"/>
                <w:sz w:val="18"/>
                <w:szCs w:val="18"/>
                <w:color w:val="auto"/>
              </w:rPr>
              <w:t>Balance as of December 31, 2010</w:t>
            </w:r>
          </w:p>
        </w:tc>
        <w:tc>
          <w:tcPr>
            <w:tcW w:w="184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20" w:type="dxa"/>
            <w:vAlign w:val="bottom"/>
            <w:vMerge w:val="restart"/>
          </w:tcPr>
          <w:p>
            <w:pPr>
              <w:jc w:val="right"/>
              <w:ind w:right="278"/>
              <w:spacing w:after="0"/>
              <w:rPr>
                <w:sz w:val="20"/>
                <w:szCs w:val="20"/>
                <w:color w:val="auto"/>
              </w:rPr>
            </w:pPr>
            <w:r>
              <w:rPr>
                <w:rFonts w:ascii="Arial" w:cs="Arial" w:eastAsia="Arial" w:hAnsi="Arial"/>
                <w:sz w:val="16"/>
                <w:szCs w:val="16"/>
                <w:b w:val="1"/>
                <w:bCs w:val="1"/>
                <w:color w:val="auto"/>
                <w:w w:val="74"/>
              </w:rPr>
              <w:t>)</w:t>
            </w:r>
          </w:p>
        </w:tc>
        <w:tc>
          <w:tcPr>
            <w:tcW w:w="36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820" w:type="dxa"/>
            <w:vAlign w:val="bottom"/>
            <w:vMerge w:val="continue"/>
          </w:tcPr>
          <w:p>
            <w:pPr>
              <w:spacing w:after="0"/>
              <w:rPr>
                <w:sz w:val="19"/>
                <w:szCs w:val="19"/>
                <w:color w:val="auto"/>
              </w:rPr>
            </w:pPr>
          </w:p>
        </w:tc>
        <w:tc>
          <w:tcPr>
            <w:tcW w:w="1840" w:type="dxa"/>
            <w:vAlign w:val="bottom"/>
            <w:vMerge w:val="continue"/>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b w:val="1"/>
                <w:bCs w:val="1"/>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rPr>
              <w:t>(3.2</w:t>
            </w:r>
          </w:p>
        </w:tc>
        <w:tc>
          <w:tcPr>
            <w:tcW w:w="420" w:type="dxa"/>
            <w:vAlign w:val="bottom"/>
            <w:vMerge w:val="continue"/>
          </w:tcPr>
          <w:p>
            <w:pPr>
              <w:spacing w:after="0"/>
              <w:rPr>
                <w:sz w:val="19"/>
                <w:szCs w:val="19"/>
                <w:color w:val="auto"/>
              </w:rPr>
            </w:pPr>
          </w:p>
        </w:tc>
        <w:tc>
          <w:tcPr>
            <w:tcW w:w="360" w:type="dxa"/>
            <w:vAlign w:val="bottom"/>
            <w:vMerge w:val="continue"/>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b w:val="1"/>
                <w:bCs w:val="1"/>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b w:val="1"/>
                <w:bCs w:val="1"/>
                <w:color w:val="auto"/>
              </w:rPr>
              <w:t>0.2</w:t>
            </w:r>
          </w:p>
        </w:tc>
        <w:tc>
          <w:tcPr>
            <w:tcW w:w="780" w:type="dxa"/>
            <w:vAlign w:val="bottom"/>
          </w:tcPr>
          <w:p>
            <w:pPr>
              <w:spacing w:after="0"/>
              <w:rPr>
                <w:sz w:val="19"/>
                <w:szCs w:val="19"/>
                <w:color w:val="auto"/>
              </w:rPr>
            </w:pPr>
          </w:p>
        </w:tc>
        <w:tc>
          <w:tcPr>
            <w:tcW w:w="200" w:type="dxa"/>
            <w:vAlign w:val="bottom"/>
          </w:tcPr>
          <w:p>
            <w:pPr>
              <w:spacing w:after="0"/>
              <w:rPr>
                <w:sz w:val="20"/>
                <w:szCs w:val="20"/>
                <w:color w:val="auto"/>
              </w:rPr>
            </w:pPr>
            <w:r>
              <w:rPr>
                <w:rFonts w:ascii="Arial" w:cs="Arial" w:eastAsia="Arial" w:hAnsi="Arial"/>
                <w:sz w:val="18"/>
                <w:szCs w:val="18"/>
                <w:b w:val="1"/>
                <w:bCs w:val="1"/>
                <w:color w:val="auto"/>
              </w:rPr>
              <w:t>$</w:t>
            </w:r>
          </w:p>
        </w:tc>
        <w:tc>
          <w:tcPr>
            <w:tcW w:w="82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(3.0)</w:t>
            </w:r>
          </w:p>
        </w:tc>
        <w:tc>
          <w:tcPr>
            <w:tcW w:w="0" w:type="dxa"/>
            <w:vAlign w:val="bottom"/>
          </w:tcPr>
          <w:p>
            <w:pPr>
              <w:spacing w:after="0"/>
              <w:rPr>
                <w:sz w:val="1"/>
                <w:szCs w:val="1"/>
                <w:color w:val="auto"/>
              </w:rPr>
            </w:pPr>
          </w:p>
        </w:tc>
      </w:tr>
      <w:tr>
        <w:trPr>
          <w:trHeight w:val="20"/>
        </w:trPr>
        <w:tc>
          <w:tcPr>
            <w:tcW w:w="38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3820" w:type="dxa"/>
            <w:vAlign w:val="bottom"/>
          </w:tcPr>
          <w:p>
            <w:pPr>
              <w:spacing w:after="0"/>
              <w:rPr>
                <w:sz w:val="8"/>
                <w:szCs w:val="8"/>
                <w:color w:val="auto"/>
              </w:rPr>
            </w:pPr>
          </w:p>
        </w:tc>
        <w:tc>
          <w:tcPr>
            <w:tcW w:w="18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2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Balance as of July 3, 2009</w:t>
            </w:r>
          </w:p>
        </w:tc>
        <w:tc>
          <w:tcPr>
            <w:tcW w:w="1940" w:type="dxa"/>
            <w:vAlign w:val="bottom"/>
            <w:gridSpan w:val="2"/>
            <w:shd w:val="clear" w:color="auto" w:fill="CCEEFF"/>
          </w:tcPr>
          <w:p>
            <w:pPr>
              <w:ind w:left="1840"/>
              <w:spacing w:after="0"/>
              <w:rPr>
                <w:sz w:val="20"/>
                <w:szCs w:val="20"/>
                <w:color w:val="auto"/>
              </w:rPr>
            </w:pPr>
            <w:r>
              <w:rPr>
                <w:rFonts w:ascii="Arial" w:cs="Arial" w:eastAsia="Arial" w:hAnsi="Arial"/>
                <w:sz w:val="18"/>
                <w:szCs w:val="18"/>
                <w:b w:val="1"/>
                <w:bCs w:val="1"/>
                <w:color w:val="auto"/>
                <w:w w:val="79"/>
              </w:rPr>
              <w:t>$</w:t>
            </w:r>
          </w:p>
        </w:tc>
        <w:tc>
          <w:tcPr>
            <w:tcW w:w="1000" w:type="dxa"/>
            <w:vAlign w:val="bottom"/>
            <w:gridSpan w:val="2"/>
            <w:shd w:val="clear" w:color="auto" w:fill="CCEEFF"/>
          </w:tcPr>
          <w:p>
            <w:pPr>
              <w:jc w:val="right"/>
              <w:ind w:right="278"/>
              <w:spacing w:after="0"/>
              <w:rPr>
                <w:sz w:val="20"/>
                <w:szCs w:val="20"/>
                <w:color w:val="auto"/>
              </w:rPr>
            </w:pPr>
            <w:r>
              <w:rPr>
                <w:rFonts w:ascii="Arial" w:cs="Arial" w:eastAsia="Arial" w:hAnsi="Arial"/>
                <w:sz w:val="18"/>
                <w:szCs w:val="18"/>
                <w:b w:val="1"/>
                <w:bCs w:val="1"/>
                <w:color w:val="auto"/>
              </w:rPr>
              <w:t>(4.4)</w:t>
            </w:r>
          </w:p>
        </w:tc>
        <w:tc>
          <w:tcPr>
            <w:tcW w:w="460" w:type="dxa"/>
            <w:vAlign w:val="bottom"/>
            <w:gridSpan w:val="2"/>
            <w:shd w:val="clear" w:color="auto" w:fill="CCEEFF"/>
          </w:tcPr>
          <w:p>
            <w:pPr>
              <w:ind w:left="360"/>
              <w:spacing w:after="0"/>
              <w:rPr>
                <w:sz w:val="20"/>
                <w:szCs w:val="20"/>
                <w:color w:val="auto"/>
              </w:rPr>
            </w:pPr>
            <w:r>
              <w:rPr>
                <w:rFonts w:ascii="Arial" w:cs="Arial" w:eastAsia="Arial" w:hAnsi="Arial"/>
                <w:sz w:val="18"/>
                <w:szCs w:val="18"/>
                <w:b w:val="1"/>
                <w:bCs w:val="1"/>
                <w:color w:val="auto"/>
                <w:w w:val="79"/>
              </w:rPr>
              <w:t>$</w:t>
            </w:r>
          </w:p>
        </w:tc>
        <w:tc>
          <w:tcPr>
            <w:tcW w:w="1340" w:type="dxa"/>
            <w:vAlign w:val="bottom"/>
            <w:gridSpan w:val="2"/>
            <w:shd w:val="clear" w:color="auto" w:fill="CCEEFF"/>
          </w:tcPr>
          <w:p>
            <w:pPr>
              <w:jc w:val="right"/>
              <w:ind w:right="638"/>
              <w:spacing w:after="0"/>
              <w:rPr>
                <w:sz w:val="20"/>
                <w:szCs w:val="20"/>
                <w:color w:val="auto"/>
              </w:rPr>
            </w:pPr>
            <w:r>
              <w:rPr>
                <w:rFonts w:ascii="Arial" w:cs="Arial" w:eastAsia="Arial" w:hAnsi="Arial"/>
                <w:sz w:val="18"/>
                <w:szCs w:val="18"/>
                <w:b w:val="1"/>
                <w:bCs w:val="1"/>
                <w:color w:val="auto"/>
              </w:rPr>
              <w:t>(0.4)</w:t>
            </w:r>
          </w:p>
        </w:tc>
        <w:tc>
          <w:tcPr>
            <w:tcW w:w="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(4.8)</w:t>
            </w:r>
          </w:p>
        </w:tc>
        <w:tc>
          <w:tcPr>
            <w:tcW w:w="0" w:type="dxa"/>
            <w:vAlign w:val="bottom"/>
          </w:tcPr>
          <w:p>
            <w:pPr>
              <w:spacing w:after="0"/>
              <w:rPr>
                <w:sz w:val="1"/>
                <w:szCs w:val="1"/>
                <w:color w:val="auto"/>
              </w:rPr>
            </w:pPr>
          </w:p>
        </w:tc>
      </w:tr>
      <w:tr>
        <w:trPr>
          <w:trHeight w:val="216"/>
        </w:trPr>
        <w:tc>
          <w:tcPr>
            <w:tcW w:w="3820" w:type="dxa"/>
            <w:vAlign w:val="bottom"/>
          </w:tcPr>
          <w:p>
            <w:pPr>
              <w:spacing w:after="0"/>
              <w:rPr>
                <w:sz w:val="20"/>
                <w:szCs w:val="20"/>
                <w:color w:val="auto"/>
              </w:rPr>
            </w:pPr>
            <w:r>
              <w:rPr>
                <w:rFonts w:ascii="Arial" w:cs="Arial" w:eastAsia="Arial" w:hAnsi="Arial"/>
                <w:sz w:val="18"/>
                <w:szCs w:val="18"/>
                <w:color w:val="auto"/>
              </w:rPr>
              <w:t>Foreign currency translation gain</w:t>
            </w:r>
          </w:p>
        </w:tc>
        <w:tc>
          <w:tcPr>
            <w:tcW w:w="1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338"/>
              <w:spacing w:after="0"/>
              <w:rPr>
                <w:sz w:val="20"/>
                <w:szCs w:val="20"/>
                <w:color w:val="auto"/>
              </w:rPr>
            </w:pPr>
            <w:r>
              <w:rPr>
                <w:rFonts w:ascii="Arial" w:cs="Arial" w:eastAsia="Arial" w:hAnsi="Arial"/>
                <w:sz w:val="18"/>
                <w:szCs w:val="18"/>
                <w:b w:val="1"/>
                <w:bCs w:val="1"/>
                <w:color w:val="auto"/>
              </w:rPr>
              <w:t>2.0</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778"/>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2.0</w:t>
            </w:r>
          </w:p>
        </w:tc>
        <w:tc>
          <w:tcPr>
            <w:tcW w:w="0" w:type="dxa"/>
            <w:vAlign w:val="bottom"/>
          </w:tcPr>
          <w:p>
            <w:pPr>
              <w:spacing w:after="0"/>
              <w:rPr>
                <w:sz w:val="1"/>
                <w:szCs w:val="1"/>
                <w:color w:val="auto"/>
              </w:rPr>
            </w:pPr>
          </w:p>
        </w:tc>
      </w:tr>
      <w:tr>
        <w:trPr>
          <w:trHeight w:val="216"/>
        </w:trPr>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Net unrealized gain on hedging activities</w:t>
            </w:r>
          </w:p>
        </w:tc>
        <w:tc>
          <w:tcPr>
            <w:tcW w:w="18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4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0.1</w:t>
            </w:r>
          </w:p>
        </w:tc>
        <w:tc>
          <w:tcPr>
            <w:tcW w:w="7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0.1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820" w:type="dxa"/>
            <w:vAlign w:val="bottom"/>
          </w:tcPr>
          <w:p>
            <w:pPr>
              <w:spacing w:after="0"/>
              <w:rPr>
                <w:sz w:val="20"/>
                <w:szCs w:val="20"/>
                <w:color w:val="auto"/>
              </w:rPr>
            </w:pPr>
            <w:r>
              <w:rPr>
                <w:rFonts w:ascii="Arial" w:cs="Arial" w:eastAsia="Arial" w:hAnsi="Arial"/>
                <w:sz w:val="18"/>
                <w:szCs w:val="18"/>
                <w:color w:val="auto"/>
              </w:rPr>
              <w:t>Balance as of January 1, 2010</w:t>
            </w:r>
          </w:p>
        </w:tc>
        <w:tc>
          <w:tcPr>
            <w:tcW w:w="1840" w:type="dxa"/>
            <w:vAlign w:val="bottom"/>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b w:val="1"/>
                <w:bCs w:val="1"/>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rPr>
              <w:t>(2.4</w:t>
            </w:r>
          </w:p>
        </w:tc>
        <w:tc>
          <w:tcPr>
            <w:tcW w:w="420" w:type="dxa"/>
            <w:vAlign w:val="bottom"/>
          </w:tcPr>
          <w:p>
            <w:pPr>
              <w:jc w:val="right"/>
              <w:ind w:right="278"/>
              <w:spacing w:after="0"/>
              <w:rPr>
                <w:sz w:val="20"/>
                <w:szCs w:val="20"/>
                <w:color w:val="auto"/>
              </w:rPr>
            </w:pPr>
            <w:r>
              <w:rPr>
                <w:rFonts w:ascii="Arial" w:cs="Arial" w:eastAsia="Arial" w:hAnsi="Arial"/>
                <w:sz w:val="16"/>
                <w:szCs w:val="16"/>
                <w:b w:val="1"/>
                <w:bCs w:val="1"/>
                <w:color w:val="auto"/>
                <w:w w:val="74"/>
              </w:rPr>
              <w:t>)</w:t>
            </w:r>
          </w:p>
        </w:tc>
        <w:tc>
          <w:tcPr>
            <w:tcW w:w="360" w:type="dxa"/>
            <w:vAlign w:val="bottom"/>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b w:val="1"/>
                <w:bCs w:val="1"/>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b w:val="1"/>
                <w:bCs w:val="1"/>
                <w:color w:val="auto"/>
              </w:rPr>
              <w:t>(0.3</w:t>
            </w:r>
          </w:p>
        </w:tc>
        <w:tc>
          <w:tcPr>
            <w:tcW w:w="780" w:type="dxa"/>
            <w:vAlign w:val="bottom"/>
          </w:tcPr>
          <w:p>
            <w:pPr>
              <w:jc w:val="right"/>
              <w:ind w:right="638"/>
              <w:spacing w:after="0"/>
              <w:rPr>
                <w:sz w:val="20"/>
                <w:szCs w:val="20"/>
                <w:color w:val="auto"/>
              </w:rPr>
            </w:pPr>
            <w:r>
              <w:rPr>
                <w:rFonts w:ascii="Arial" w:cs="Arial" w:eastAsia="Arial" w:hAnsi="Arial"/>
                <w:sz w:val="16"/>
                <w:szCs w:val="16"/>
                <w:b w:val="1"/>
                <w:bCs w:val="1"/>
                <w:color w:val="auto"/>
                <w:w w:val="74"/>
              </w:rPr>
              <w:t>)</w:t>
            </w:r>
          </w:p>
        </w:tc>
        <w:tc>
          <w:tcPr>
            <w:tcW w:w="200" w:type="dxa"/>
            <w:vAlign w:val="bottom"/>
          </w:tcPr>
          <w:p>
            <w:pPr>
              <w:spacing w:after="0"/>
              <w:rPr>
                <w:sz w:val="20"/>
                <w:szCs w:val="20"/>
                <w:color w:val="auto"/>
              </w:rPr>
            </w:pPr>
            <w:r>
              <w:rPr>
                <w:rFonts w:ascii="Arial" w:cs="Arial" w:eastAsia="Arial" w:hAnsi="Arial"/>
                <w:sz w:val="18"/>
                <w:szCs w:val="18"/>
                <w:b w:val="1"/>
                <w:bCs w:val="1"/>
                <w:color w:val="auto"/>
              </w:rPr>
              <w:t>$</w:t>
            </w:r>
          </w:p>
        </w:tc>
        <w:tc>
          <w:tcPr>
            <w:tcW w:w="82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(2.7)</w:t>
            </w:r>
          </w:p>
        </w:tc>
        <w:tc>
          <w:tcPr>
            <w:tcW w:w="0" w:type="dxa"/>
            <w:vAlign w:val="bottom"/>
          </w:tcPr>
          <w:p>
            <w:pPr>
              <w:spacing w:after="0"/>
              <w:rPr>
                <w:sz w:val="1"/>
                <w:szCs w:val="1"/>
                <w:color w:val="auto"/>
              </w:rPr>
            </w:pPr>
          </w:p>
        </w:tc>
      </w:tr>
      <w:tr>
        <w:trPr>
          <w:trHeight w:val="20"/>
        </w:trPr>
        <w:tc>
          <w:tcPr>
            <w:tcW w:w="3820" w:type="dxa"/>
            <w:vAlign w:val="bottom"/>
          </w:tcPr>
          <w:p>
            <w:pPr>
              <w:spacing w:after="0" w:line="20" w:lineRule="exact"/>
              <w:rPr>
                <w:sz w:val="1"/>
                <w:szCs w:val="1"/>
                <w:color w:val="auto"/>
              </w:rPr>
            </w:pPr>
          </w:p>
        </w:tc>
        <w:tc>
          <w:tcPr>
            <w:tcW w:w="1840" w:type="dxa"/>
            <w:vAlign w:val="bottom"/>
            <w:vMerge w:val="restart"/>
          </w:tcPr>
          <w:p>
            <w:pPr>
              <w:jc w:val="right"/>
              <w:ind w:right="732"/>
              <w:spacing w:after="0"/>
              <w:rPr>
                <w:sz w:val="20"/>
                <w:szCs w:val="20"/>
                <w:color w:val="auto"/>
              </w:rPr>
            </w:pPr>
            <w:r>
              <w:rPr>
                <w:rFonts w:ascii="Arial" w:cs="Arial" w:eastAsia="Arial" w:hAnsi="Arial"/>
                <w:sz w:val="18"/>
                <w:szCs w:val="18"/>
                <w:color w:val="auto"/>
              </w:rPr>
              <w:t>6</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3820" w:type="dxa"/>
            <w:vAlign w:val="bottom"/>
          </w:tcPr>
          <w:p>
            <w:pPr>
              <w:spacing w:after="0"/>
              <w:rPr>
                <w:sz w:val="24"/>
                <w:szCs w:val="24"/>
                <w:color w:val="auto"/>
              </w:rPr>
            </w:pPr>
          </w:p>
        </w:tc>
        <w:tc>
          <w:tcPr>
            <w:tcW w:w="184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80"/>
          </w:cols>
          <w:pgMar w:left="240" w:top="459" w:right="27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Total comprehensive loss for the quarter and two quarters ended December 31, 2010 and January 1, 2010 was comprised of the following:</w:t>
      </w:r>
    </w:p>
    <w:p>
      <w:pPr>
        <w:spacing w:after="0" w:line="230"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7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60" w:type="dxa"/>
            <w:vAlign w:val="bottom"/>
            <w:gridSpan w:val="3"/>
          </w:tcPr>
          <w:p>
            <w:pPr>
              <w:ind w:left="400"/>
              <w:spacing w:after="0"/>
              <w:rPr>
                <w:sz w:val="20"/>
                <w:szCs w:val="20"/>
                <w:color w:val="auto"/>
              </w:rPr>
            </w:pPr>
            <w:r>
              <w:rPr>
                <w:rFonts w:ascii="Arial" w:cs="Arial" w:eastAsia="Arial" w:hAnsi="Arial"/>
                <w:sz w:val="14"/>
                <w:szCs w:val="14"/>
                <w:b w:val="1"/>
                <w:bCs w:val="1"/>
                <w:color w:val="auto"/>
                <w:w w:val="96"/>
              </w:rPr>
              <w:t>Quarter Ended</w:t>
            </w:r>
          </w:p>
        </w:tc>
        <w:tc>
          <w:tcPr>
            <w:tcW w:w="5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960" w:type="dxa"/>
            <w:vAlign w:val="bottom"/>
            <w:gridSpan w:val="6"/>
          </w:tcPr>
          <w:p>
            <w:pPr>
              <w:jc w:val="right"/>
              <w:ind w:right="520"/>
              <w:spacing w:after="0"/>
              <w:rPr>
                <w:sz w:val="20"/>
                <w:szCs w:val="20"/>
                <w:color w:val="auto"/>
              </w:rPr>
            </w:pPr>
            <w:r>
              <w:rPr>
                <w:rFonts w:ascii="Arial" w:cs="Arial" w:eastAsia="Arial" w:hAnsi="Arial"/>
                <w:sz w:val="14"/>
                <w:szCs w:val="14"/>
                <w:b w:val="1"/>
                <w:bCs w:val="1"/>
                <w:color w:val="auto"/>
              </w:rPr>
              <w:t>Two Quarters Ended</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7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400" w:type="dxa"/>
            <w:vAlign w:val="bottom"/>
            <w:tcBorders>
              <w:top w:val="single" w:sz="8" w:color="auto"/>
            </w:tcBorders>
            <w:gridSpan w:val="3"/>
          </w:tcPr>
          <w:p>
            <w:pPr>
              <w:spacing w:after="0" w:line="129" w:lineRule="exact"/>
              <w:rPr>
                <w:sz w:val="20"/>
                <w:szCs w:val="20"/>
                <w:color w:val="auto"/>
              </w:rPr>
            </w:pPr>
            <w:r>
              <w:rPr>
                <w:rFonts w:ascii="Arial" w:cs="Arial" w:eastAsia="Arial" w:hAnsi="Arial"/>
                <w:sz w:val="14"/>
                <w:szCs w:val="14"/>
                <w:b w:val="1"/>
                <w:bCs w:val="1"/>
                <w:color w:val="auto"/>
              </w:rPr>
              <w:t>December 31,</w:t>
            </w:r>
          </w:p>
        </w:tc>
        <w:tc>
          <w:tcPr>
            <w:tcW w:w="620" w:type="dxa"/>
            <w:vAlign w:val="bottom"/>
            <w:tcBorders>
              <w:top w:val="single" w:sz="8" w:color="auto"/>
            </w:tcBorders>
            <w:gridSpan w:val="2"/>
          </w:tcPr>
          <w:p>
            <w:pPr>
              <w:spacing w:after="0" w:line="129" w:lineRule="exact"/>
              <w:rPr>
                <w:sz w:val="20"/>
                <w:szCs w:val="20"/>
                <w:color w:val="auto"/>
              </w:rPr>
            </w:pPr>
            <w:r>
              <w:rPr>
                <w:rFonts w:ascii="Arial" w:cs="Arial" w:eastAsia="Arial" w:hAnsi="Arial"/>
                <w:sz w:val="14"/>
                <w:szCs w:val="14"/>
                <w:b w:val="1"/>
                <w:bCs w:val="1"/>
                <w:color w:val="auto"/>
                <w:w w:val="86"/>
              </w:rPr>
              <w:t>January 1,</w:t>
            </w:r>
          </w:p>
        </w:tc>
        <w:tc>
          <w:tcPr>
            <w:tcW w:w="600" w:type="dxa"/>
            <w:vAlign w:val="bottom"/>
          </w:tcPr>
          <w:p>
            <w:pPr>
              <w:spacing w:after="0"/>
              <w:rPr>
                <w:sz w:val="11"/>
                <w:szCs w:val="11"/>
                <w:color w:val="auto"/>
              </w:rPr>
            </w:pPr>
          </w:p>
        </w:tc>
        <w:tc>
          <w:tcPr>
            <w:tcW w:w="1140" w:type="dxa"/>
            <w:vAlign w:val="bottom"/>
            <w:tcBorders>
              <w:top w:val="single" w:sz="8" w:color="auto"/>
            </w:tcBorders>
            <w:gridSpan w:val="3"/>
          </w:tcPr>
          <w:p>
            <w:pPr>
              <w:ind w:left="20"/>
              <w:spacing w:after="0" w:line="129" w:lineRule="exact"/>
              <w:rPr>
                <w:sz w:val="20"/>
                <w:szCs w:val="20"/>
                <w:color w:val="auto"/>
              </w:rPr>
            </w:pPr>
            <w:r>
              <w:rPr>
                <w:rFonts w:ascii="Arial" w:cs="Arial" w:eastAsia="Arial" w:hAnsi="Arial"/>
                <w:sz w:val="14"/>
                <w:szCs w:val="14"/>
                <w:b w:val="1"/>
                <w:bCs w:val="1"/>
                <w:color w:val="auto"/>
              </w:rPr>
              <w:t>December 31,</w:t>
            </w:r>
          </w:p>
        </w:tc>
        <w:tc>
          <w:tcPr>
            <w:tcW w:w="28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gridSpan w:val="2"/>
          </w:tcPr>
          <w:p>
            <w:pPr>
              <w:spacing w:after="0" w:line="129" w:lineRule="exact"/>
              <w:rPr>
                <w:sz w:val="20"/>
                <w:szCs w:val="20"/>
                <w:color w:val="auto"/>
              </w:rPr>
            </w:pPr>
            <w:r>
              <w:rPr>
                <w:rFonts w:ascii="Arial" w:cs="Arial" w:eastAsia="Arial" w:hAnsi="Arial"/>
                <w:sz w:val="14"/>
                <w:szCs w:val="14"/>
                <w:b w:val="1"/>
                <w:bCs w:val="1"/>
                <w:color w:val="auto"/>
                <w:w w:val="86"/>
              </w:rPr>
              <w:t>January 1,</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7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99"/>
              <w:spacing w:after="0"/>
              <w:rPr>
                <w:sz w:val="20"/>
                <w:szCs w:val="20"/>
                <w:color w:val="auto"/>
              </w:rPr>
            </w:pPr>
            <w:r>
              <w:rPr>
                <w:rFonts w:ascii="Arial" w:cs="Arial" w:eastAsia="Arial" w:hAnsi="Arial"/>
                <w:sz w:val="14"/>
                <w:szCs w:val="14"/>
                <w:b w:val="1"/>
                <w:bCs w:val="1"/>
                <w:color w:val="auto"/>
              </w:rPr>
              <w:t>2010</w:t>
            </w:r>
          </w:p>
        </w:tc>
        <w:tc>
          <w:tcPr>
            <w:tcW w:w="6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99"/>
              <w:spacing w:after="0"/>
              <w:rPr>
                <w:sz w:val="20"/>
                <w:szCs w:val="20"/>
                <w:color w:val="auto"/>
              </w:rPr>
            </w:pPr>
            <w:r>
              <w:rPr>
                <w:rFonts w:ascii="Arial" w:cs="Arial" w:eastAsia="Arial" w:hAnsi="Arial"/>
                <w:sz w:val="14"/>
                <w:szCs w:val="14"/>
                <w:b w:val="1"/>
                <w:bCs w:val="1"/>
                <w:color w:val="auto"/>
                <w:w w:val="96"/>
              </w:rPr>
              <w:t>2010</w:t>
            </w:r>
          </w:p>
        </w:tc>
        <w:tc>
          <w:tcPr>
            <w:tcW w:w="6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79"/>
              <w:spacing w:after="0"/>
              <w:rPr>
                <w:sz w:val="20"/>
                <w:szCs w:val="20"/>
                <w:color w:val="auto"/>
              </w:rPr>
            </w:pPr>
            <w:r>
              <w:rPr>
                <w:rFonts w:ascii="Arial" w:cs="Arial" w:eastAsia="Arial" w:hAnsi="Arial"/>
                <w:sz w:val="14"/>
                <w:szCs w:val="14"/>
                <w:b w:val="1"/>
                <w:bCs w:val="1"/>
                <w:color w:val="auto"/>
              </w:rPr>
              <w:t>2010</w:t>
            </w:r>
          </w:p>
        </w:tc>
        <w:tc>
          <w:tcPr>
            <w:tcW w:w="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96"/>
              <w:spacing w:after="0"/>
              <w:rPr>
                <w:sz w:val="20"/>
                <w:szCs w:val="20"/>
                <w:color w:val="auto"/>
              </w:rPr>
            </w:pPr>
            <w:r>
              <w:rPr>
                <w:rFonts w:ascii="Arial" w:cs="Arial" w:eastAsia="Arial" w:hAnsi="Arial"/>
                <w:sz w:val="14"/>
                <w:szCs w:val="14"/>
                <w:b w:val="1"/>
                <w:bCs w:val="1"/>
                <w:color w:val="auto"/>
                <w:w w:val="96"/>
              </w:rPr>
              <w:t>2010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7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gridSpan w:val="3"/>
          </w:tcPr>
          <w:p>
            <w:pPr>
              <w:ind w:left="440"/>
              <w:spacing w:after="0" w:line="142" w:lineRule="exact"/>
              <w:rPr>
                <w:sz w:val="20"/>
                <w:szCs w:val="20"/>
                <w:color w:val="auto"/>
              </w:rPr>
            </w:pPr>
            <w:r>
              <w:rPr>
                <w:rFonts w:ascii="Arial" w:cs="Arial" w:eastAsia="Arial" w:hAnsi="Arial"/>
                <w:sz w:val="14"/>
                <w:szCs w:val="14"/>
                <w:b w:val="1"/>
                <w:bCs w:val="1"/>
                <w:color w:val="auto"/>
              </w:rPr>
              <w:t>(In millions)</w:t>
            </w:r>
          </w:p>
        </w:tc>
        <w:tc>
          <w:tcPr>
            <w:tcW w:w="6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160" w:type="dxa"/>
            <w:vAlign w:val="bottom"/>
            <w:gridSpan w:val="2"/>
            <w:shd w:val="clear" w:color="auto" w:fill="CCEEFF"/>
          </w:tcPr>
          <w:p>
            <w:pPr>
              <w:ind w:left="1000"/>
              <w:spacing w:after="0"/>
              <w:rPr>
                <w:sz w:val="20"/>
                <w:szCs w:val="20"/>
                <w:color w:val="auto"/>
              </w:rPr>
            </w:pPr>
            <w:r>
              <w:rPr>
                <w:rFonts w:ascii="Arial" w:cs="Arial" w:eastAsia="Arial" w:hAnsi="Arial"/>
                <w:sz w:val="18"/>
                <w:szCs w:val="18"/>
                <w:b w:val="1"/>
                <w:bCs w:val="1"/>
                <w:color w:val="auto"/>
              </w:rPr>
              <w:t>$</w:t>
            </w:r>
          </w:p>
        </w:tc>
        <w:tc>
          <w:tcPr>
            <w:tcW w:w="12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b w:val="1"/>
                <w:bCs w:val="1"/>
                <w:color w:val="auto"/>
              </w:rPr>
              <w:t>(12.5)</w:t>
            </w:r>
          </w:p>
        </w:tc>
        <w:tc>
          <w:tcPr>
            <w:tcW w:w="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9"/>
              </w:rPr>
              <w:t>$</w:t>
            </w:r>
          </w:p>
        </w:tc>
        <w:tc>
          <w:tcPr>
            <w:tcW w:w="11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b w:val="1"/>
                <w:bCs w:val="1"/>
                <w:color w:val="auto"/>
              </w:rPr>
              <w:t>(7.9)</w:t>
            </w:r>
          </w:p>
        </w:tc>
        <w:tc>
          <w:tcPr>
            <w:tcW w:w="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9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(33.8)</w:t>
            </w:r>
          </w:p>
        </w:tc>
        <w:tc>
          <w:tcPr>
            <w:tcW w:w="400" w:type="dxa"/>
            <w:vAlign w:val="bottom"/>
            <w:gridSpan w:val="2"/>
            <w:shd w:val="clear" w:color="auto" w:fill="CCEEFF"/>
          </w:tcPr>
          <w:p>
            <w:pPr>
              <w:ind w:left="280"/>
              <w:spacing w:after="0"/>
              <w:rPr>
                <w:sz w:val="20"/>
                <w:szCs w:val="20"/>
                <w:color w:val="auto"/>
              </w:rPr>
            </w:pPr>
            <w:r>
              <w:rPr>
                <w:rFonts w:ascii="Arial" w:cs="Arial" w:eastAsia="Arial" w:hAnsi="Arial"/>
                <w:sz w:val="18"/>
                <w:szCs w:val="18"/>
                <w:b w:val="1"/>
                <w:bCs w:val="1"/>
                <w:color w:val="auto"/>
                <w:w w:val="99"/>
              </w:rPr>
              <w:t>$</w:t>
            </w: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(15.7)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tcPr>
          <w:p>
            <w:pPr>
              <w:spacing w:after="0"/>
              <w:rPr>
                <w:sz w:val="20"/>
                <w:szCs w:val="20"/>
                <w:color w:val="auto"/>
              </w:rPr>
            </w:pPr>
            <w:r>
              <w:rPr>
                <w:rFonts w:ascii="Arial" w:cs="Arial" w:eastAsia="Arial" w:hAnsi="Arial"/>
                <w:sz w:val="18"/>
                <w:szCs w:val="18"/>
                <w:color w:val="auto"/>
              </w:rPr>
              <w:t>Other comprehensive income (loss):</w:t>
            </w: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Foreign currency translation income (loss)</w:t>
            </w: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b w:val="1"/>
                <w:bCs w:val="1"/>
                <w:color w:val="auto"/>
              </w:rPr>
              <w:t>(0.4)</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0.6</w:t>
            </w: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(0.3)</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tcPr>
          <w:p>
            <w:pPr>
              <w:ind w:left="420"/>
              <w:spacing w:after="0"/>
              <w:rPr>
                <w:sz w:val="20"/>
                <w:szCs w:val="20"/>
                <w:color w:val="auto"/>
              </w:rPr>
            </w:pPr>
            <w:r>
              <w:rPr>
                <w:rFonts w:ascii="Arial" w:cs="Arial" w:eastAsia="Arial" w:hAnsi="Arial"/>
                <w:sz w:val="18"/>
                <w:szCs w:val="18"/>
                <w:color w:val="auto"/>
              </w:rPr>
              <w:t>Net unrealized gain (loss) on hedging activities</w:t>
            </w: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b w:val="1"/>
                <w:bCs w:val="1"/>
                <w:color w:val="auto"/>
              </w:rPr>
              <w:t>0.4</w:t>
            </w: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rPr>
              <w:t>0.4</w:t>
            </w: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(0.1)</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0.1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7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Total comprehensive loss</w:t>
            </w:r>
          </w:p>
        </w:tc>
        <w:tc>
          <w:tcPr>
            <w:tcW w:w="1160" w:type="dxa"/>
            <w:vAlign w:val="bottom"/>
            <w:gridSpan w:val="2"/>
            <w:shd w:val="clear" w:color="auto" w:fill="CCEEFF"/>
          </w:tcPr>
          <w:p>
            <w:pPr>
              <w:ind w:left="1000"/>
              <w:spacing w:after="0"/>
              <w:rPr>
                <w:sz w:val="20"/>
                <w:szCs w:val="20"/>
                <w:color w:val="auto"/>
              </w:rPr>
            </w:pPr>
            <w:r>
              <w:rPr>
                <w:rFonts w:ascii="Arial" w:cs="Arial" w:eastAsia="Arial" w:hAnsi="Arial"/>
                <w:sz w:val="18"/>
                <w:szCs w:val="18"/>
                <w:b w:val="1"/>
                <w:bCs w:val="1"/>
                <w:color w:val="auto"/>
              </w:rPr>
              <w:t>$</w:t>
            </w:r>
          </w:p>
        </w:tc>
        <w:tc>
          <w:tcPr>
            <w:tcW w:w="12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b w:val="1"/>
                <w:bCs w:val="1"/>
                <w:color w:val="auto"/>
              </w:rPr>
              <w:t>(12.5)</w:t>
            </w:r>
          </w:p>
        </w:tc>
        <w:tc>
          <w:tcPr>
            <w:tcW w:w="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9"/>
              </w:rPr>
              <w:t>$</w:t>
            </w:r>
          </w:p>
        </w:tc>
        <w:tc>
          <w:tcPr>
            <w:tcW w:w="11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b w:val="1"/>
                <w:bCs w:val="1"/>
                <w:color w:val="auto"/>
              </w:rPr>
              <w:t>(6.9)</w:t>
            </w:r>
          </w:p>
        </w:tc>
        <w:tc>
          <w:tcPr>
            <w:tcW w:w="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9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(34.2)</w:t>
            </w:r>
          </w:p>
        </w:tc>
        <w:tc>
          <w:tcPr>
            <w:tcW w:w="400" w:type="dxa"/>
            <w:vAlign w:val="bottom"/>
            <w:gridSpan w:val="2"/>
            <w:shd w:val="clear" w:color="auto" w:fill="CCEEFF"/>
          </w:tcPr>
          <w:p>
            <w:pPr>
              <w:ind w:left="280"/>
              <w:spacing w:after="0"/>
              <w:rPr>
                <w:sz w:val="20"/>
                <w:szCs w:val="20"/>
                <w:color w:val="auto"/>
              </w:rPr>
            </w:pPr>
            <w:r>
              <w:rPr>
                <w:rFonts w:ascii="Arial" w:cs="Arial" w:eastAsia="Arial" w:hAnsi="Arial"/>
                <w:sz w:val="18"/>
                <w:szCs w:val="18"/>
                <w:b w:val="1"/>
                <w:bCs w:val="1"/>
                <w:color w:val="auto"/>
                <w:w w:val="99"/>
              </w:rPr>
              <w:t>$</w:t>
            </w: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(13.6)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Net Income (Loss) per Share of Common Stock</w:t>
      </w:r>
    </w:p>
    <w:p>
      <w:pPr>
        <w:spacing w:after="0" w:line="9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We compute net income (loss) per share of common stock using the two-class method. Basic net income (loss) per share is computed using the weighted average number of common shares and participating securities outstanding. Our unvested restricted shares (including restricted stock awards and performance share awards) contain rights to receive non-forfeitable dividends therefore are considered to be participating securities and would be included in the calculations of net income per basic and diluted common share. We incurred a net loss in the second and first two quarters of both fiscal 2011 and fiscal 2010. In accordance with ASC subtopic 260-10, undistributed losses were not allocated to unvested restricted shares due to the fact that the unvested restricted shares are not contractually obligated to share in the losses of the company.</w:t>
      </w:r>
    </w:p>
    <w:p>
      <w:pPr>
        <w:spacing w:after="0" w:line="120"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As a result of the company’s net loss in the second and first two quarters of fiscal 2011 and fiscal 2010, the computation of diluted net loss per share for these periods excluded all potential common stock equivalents outstanding as their effect was anti-dilutive. Such common equivalent shares included options to purchase shares of common stock, unvested restricted stock awards and units, and unvested performance share awards.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Balance Sheet Components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Receivables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receivables are summarized below:</w:t>
      </w:r>
    </w:p>
    <w:p>
      <w:pPr>
        <w:spacing w:after="0" w:line="195"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4580" w:type="dxa"/>
            <w:vAlign w:val="bottom"/>
          </w:tcPr>
          <w:p>
            <w:pPr>
              <w:spacing w:after="0"/>
              <w:rPr>
                <w:sz w:val="14"/>
                <w:szCs w:val="14"/>
                <w:color w:val="auto"/>
              </w:rPr>
            </w:pPr>
          </w:p>
        </w:tc>
        <w:tc>
          <w:tcPr>
            <w:tcW w:w="3400" w:type="dxa"/>
            <w:vAlign w:val="bottom"/>
            <w:gridSpan w:val="4"/>
          </w:tcPr>
          <w:p>
            <w:pPr>
              <w:ind w:left="1960"/>
              <w:spacing w:after="0"/>
              <w:rPr>
                <w:sz w:val="20"/>
                <w:szCs w:val="20"/>
                <w:color w:val="auto"/>
              </w:rPr>
            </w:pPr>
            <w:r>
              <w:rPr>
                <w:rFonts w:ascii="Arial" w:cs="Arial" w:eastAsia="Arial" w:hAnsi="Arial"/>
                <w:sz w:val="14"/>
                <w:szCs w:val="14"/>
                <w:b w:val="1"/>
                <w:bCs w:val="1"/>
                <w:color w:val="auto"/>
              </w:rPr>
              <w:t>December 31,</w:t>
            </w:r>
          </w:p>
        </w:tc>
        <w:tc>
          <w:tcPr>
            <w:tcW w:w="80" w:type="dxa"/>
            <w:vAlign w:val="bottom"/>
          </w:tcPr>
          <w:p>
            <w:pPr>
              <w:spacing w:after="0"/>
              <w:rPr>
                <w:sz w:val="14"/>
                <w:szCs w:val="14"/>
                <w:color w:val="auto"/>
              </w:rPr>
            </w:pPr>
          </w:p>
        </w:tc>
        <w:tc>
          <w:tcPr>
            <w:tcW w:w="62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w w:val="96"/>
              </w:rPr>
              <w:t>July 2,</w:t>
            </w:r>
          </w:p>
        </w:tc>
      </w:tr>
      <w:tr>
        <w:trPr>
          <w:trHeight w:val="161"/>
        </w:trPr>
        <w:tc>
          <w:tcPr>
            <w:tcW w:w="458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jc w:val="right"/>
              <w:ind w:right="198"/>
              <w:spacing w:after="0"/>
              <w:rPr>
                <w:sz w:val="20"/>
                <w:szCs w:val="20"/>
                <w:color w:val="auto"/>
              </w:rPr>
            </w:pPr>
            <w:r>
              <w:rPr>
                <w:rFonts w:ascii="Arial" w:cs="Arial" w:eastAsia="Arial" w:hAnsi="Arial"/>
                <w:sz w:val="14"/>
                <w:szCs w:val="14"/>
                <w:b w:val="1"/>
                <w:bCs w:val="1"/>
                <w:color w:val="auto"/>
              </w:rPr>
              <w:t>2010</w:t>
            </w:r>
          </w:p>
        </w:tc>
        <w:tc>
          <w:tcPr>
            <w:tcW w:w="640" w:type="dxa"/>
            <w:vAlign w:val="bottom"/>
          </w:tcPr>
          <w:p>
            <w:pPr>
              <w:spacing w:after="0"/>
              <w:rPr>
                <w:sz w:val="14"/>
                <w:szCs w:val="14"/>
                <w:color w:val="auto"/>
              </w:rPr>
            </w:pPr>
          </w:p>
        </w:tc>
        <w:tc>
          <w:tcPr>
            <w:tcW w:w="580" w:type="dxa"/>
            <w:vAlign w:val="bottom"/>
            <w:gridSpan w:val="2"/>
          </w:tcPr>
          <w:p>
            <w:pPr>
              <w:jc w:val="right"/>
              <w:ind w:right="42"/>
              <w:spacing w:after="0"/>
              <w:rPr>
                <w:sz w:val="20"/>
                <w:szCs w:val="20"/>
                <w:color w:val="auto"/>
              </w:rPr>
            </w:pPr>
            <w:r>
              <w:rPr>
                <w:rFonts w:ascii="Arial" w:cs="Arial" w:eastAsia="Arial" w:hAnsi="Arial"/>
                <w:sz w:val="14"/>
                <w:szCs w:val="14"/>
                <w:b w:val="1"/>
                <w:bCs w:val="1"/>
                <w:color w:val="auto"/>
              </w:rPr>
              <w:t>2010</w:t>
            </w:r>
          </w:p>
        </w:tc>
        <w:tc>
          <w:tcPr>
            <w:tcW w:w="120" w:type="dxa"/>
            <w:vAlign w:val="bottom"/>
          </w:tcPr>
          <w:p>
            <w:pPr>
              <w:spacing w:after="0"/>
              <w:rPr>
                <w:sz w:val="14"/>
                <w:szCs w:val="14"/>
                <w:color w:val="auto"/>
              </w:rPr>
            </w:pPr>
          </w:p>
        </w:tc>
      </w:tr>
      <w:tr>
        <w:trPr>
          <w:trHeight w:val="142"/>
        </w:trPr>
        <w:tc>
          <w:tcPr>
            <w:tcW w:w="458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(In</w:t>
            </w:r>
          </w:p>
        </w:tc>
        <w:tc>
          <w:tcPr>
            <w:tcW w:w="640" w:type="dxa"/>
            <w:vAlign w:val="bottom"/>
          </w:tcPr>
          <w:p>
            <w:pPr>
              <w:jc w:val="right"/>
              <w:ind w:right="12"/>
              <w:spacing w:after="0" w:line="142" w:lineRule="exact"/>
              <w:rPr>
                <w:sz w:val="20"/>
                <w:szCs w:val="20"/>
                <w:color w:val="auto"/>
              </w:rPr>
            </w:pPr>
            <w:r>
              <w:rPr>
                <w:rFonts w:ascii="Arial" w:cs="Arial" w:eastAsia="Arial" w:hAnsi="Arial"/>
                <w:sz w:val="14"/>
                <w:szCs w:val="14"/>
                <w:b w:val="1"/>
                <w:bCs w:val="1"/>
                <w:color w:val="auto"/>
                <w:w w:val="93"/>
              </w:rPr>
              <w:t>millions)</w:t>
            </w:r>
          </w:p>
        </w:tc>
        <w:tc>
          <w:tcPr>
            <w:tcW w:w="80" w:type="dxa"/>
            <w:vAlign w:val="bottom"/>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r>
      <w:tr>
        <w:trPr>
          <w:trHeight w:val="216"/>
        </w:trPr>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Accounts receivable</w:t>
            </w:r>
          </w:p>
        </w:tc>
        <w:tc>
          <w:tcPr>
            <w:tcW w:w="2140" w:type="dxa"/>
            <w:vAlign w:val="bottom"/>
            <w:gridSpan w:val="2"/>
            <w:shd w:val="clear" w:color="auto" w:fill="CCEEFF"/>
          </w:tcPr>
          <w:p>
            <w:pPr>
              <w:ind w:left="1960"/>
              <w:spacing w:after="0"/>
              <w:rPr>
                <w:sz w:val="20"/>
                <w:szCs w:val="20"/>
                <w:color w:val="auto"/>
              </w:rPr>
            </w:pPr>
            <w:r>
              <w:rPr>
                <w:rFonts w:ascii="Arial" w:cs="Arial" w:eastAsia="Arial" w:hAnsi="Arial"/>
                <w:sz w:val="18"/>
                <w:szCs w:val="18"/>
                <w:b w:val="1"/>
                <w:bCs w:val="1"/>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157.7</w:t>
            </w:r>
          </w:p>
        </w:tc>
        <w:tc>
          <w:tcPr>
            <w:tcW w:w="6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w w:val="93"/>
              </w:rPr>
              <w:t>$ 113.6</w:t>
            </w:r>
          </w:p>
        </w:tc>
        <w:tc>
          <w:tcPr>
            <w:tcW w:w="120" w:type="dxa"/>
            <w:vAlign w:val="bottom"/>
            <w:shd w:val="clear" w:color="auto" w:fill="CCEEFF"/>
          </w:tcPr>
          <w:p>
            <w:pPr>
              <w:spacing w:after="0"/>
              <w:rPr>
                <w:sz w:val="18"/>
                <w:szCs w:val="18"/>
                <w:color w:val="auto"/>
              </w:rPr>
            </w:pPr>
          </w:p>
        </w:tc>
      </w:tr>
      <w:tr>
        <w:trPr>
          <w:trHeight w:val="223"/>
        </w:trPr>
        <w:tc>
          <w:tcPr>
            <w:tcW w:w="4580" w:type="dxa"/>
            <w:vAlign w:val="bottom"/>
          </w:tcPr>
          <w:p>
            <w:pPr>
              <w:spacing w:after="0"/>
              <w:rPr>
                <w:sz w:val="20"/>
                <w:szCs w:val="20"/>
                <w:color w:val="auto"/>
              </w:rPr>
            </w:pPr>
            <w:r>
              <w:rPr>
                <w:rFonts w:ascii="Arial" w:cs="Arial" w:eastAsia="Arial" w:hAnsi="Arial"/>
                <w:sz w:val="18"/>
                <w:szCs w:val="18"/>
                <w:color w:val="auto"/>
              </w:rPr>
              <w:t>Notes receivable due within one year</w:t>
            </w:r>
          </w:p>
        </w:tc>
        <w:tc>
          <w:tcPr>
            <w:tcW w:w="19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4.0</w:t>
            </w: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4.5</w:t>
            </w:r>
          </w:p>
        </w:tc>
        <w:tc>
          <w:tcPr>
            <w:tcW w:w="120" w:type="dxa"/>
            <w:vAlign w:val="bottom"/>
          </w:tcPr>
          <w:p>
            <w:pPr>
              <w:spacing w:after="0"/>
              <w:rPr>
                <w:sz w:val="19"/>
                <w:szCs w:val="19"/>
                <w:color w:val="auto"/>
              </w:rPr>
            </w:pPr>
          </w:p>
        </w:tc>
      </w:tr>
      <w:tr>
        <w:trPr>
          <w:trHeight w:val="216"/>
        </w:trPr>
        <w:tc>
          <w:tcPr>
            <w:tcW w:w="4580" w:type="dxa"/>
            <w:vAlign w:val="bottom"/>
            <w:shd w:val="clear" w:color="auto" w:fill="CCEEFF"/>
          </w:tcPr>
          <w:p>
            <w:pPr>
              <w:spacing w:after="0"/>
              <w:rPr>
                <w:sz w:val="18"/>
                <w:szCs w:val="18"/>
                <w:color w:val="auto"/>
              </w:rPr>
            </w:pPr>
          </w:p>
        </w:tc>
        <w:tc>
          <w:tcPr>
            <w:tcW w:w="19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161.7</w:t>
            </w:r>
          </w:p>
        </w:tc>
        <w:tc>
          <w:tcPr>
            <w:tcW w:w="6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118.1</w:t>
            </w:r>
          </w:p>
        </w:tc>
        <w:tc>
          <w:tcPr>
            <w:tcW w:w="120" w:type="dxa"/>
            <w:vAlign w:val="bottom"/>
            <w:shd w:val="clear" w:color="auto" w:fill="CCEEFF"/>
          </w:tcPr>
          <w:p>
            <w:pPr>
              <w:spacing w:after="0"/>
              <w:rPr>
                <w:sz w:val="18"/>
                <w:szCs w:val="18"/>
                <w:color w:val="auto"/>
              </w:rPr>
            </w:pPr>
          </w:p>
        </w:tc>
      </w:tr>
      <w:tr>
        <w:trPr>
          <w:trHeight w:val="216"/>
        </w:trPr>
        <w:tc>
          <w:tcPr>
            <w:tcW w:w="4580" w:type="dxa"/>
            <w:vAlign w:val="bottom"/>
          </w:tcPr>
          <w:p>
            <w:pPr>
              <w:spacing w:after="0"/>
              <w:rPr>
                <w:sz w:val="20"/>
                <w:szCs w:val="20"/>
                <w:color w:val="auto"/>
              </w:rPr>
            </w:pPr>
            <w:r>
              <w:rPr>
                <w:rFonts w:ascii="Arial" w:cs="Arial" w:eastAsia="Arial" w:hAnsi="Arial"/>
                <w:sz w:val="18"/>
                <w:szCs w:val="18"/>
                <w:color w:val="auto"/>
              </w:rPr>
              <w:t>Less allowances for collection losses</w:t>
            </w:r>
          </w:p>
        </w:tc>
        <w:tc>
          <w:tcPr>
            <w:tcW w:w="1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2"/>
          </w:tcPr>
          <w:p>
            <w:pPr>
              <w:jc w:val="right"/>
              <w:ind w:right="512"/>
              <w:spacing w:after="0"/>
              <w:rPr>
                <w:sz w:val="20"/>
                <w:szCs w:val="20"/>
                <w:color w:val="auto"/>
              </w:rPr>
            </w:pPr>
            <w:r>
              <w:rPr>
                <w:rFonts w:ascii="Arial" w:cs="Arial" w:eastAsia="Arial" w:hAnsi="Arial"/>
                <w:sz w:val="18"/>
                <w:szCs w:val="18"/>
                <w:b w:val="1"/>
                <w:bCs w:val="1"/>
                <w:color w:val="auto"/>
              </w:rPr>
              <w:t>(15.3)</w:t>
            </w:r>
          </w:p>
        </w:tc>
        <w:tc>
          <w:tcPr>
            <w:tcW w:w="700" w:type="dxa"/>
            <w:vAlign w:val="bottom"/>
            <w:gridSpan w:val="3"/>
          </w:tcPr>
          <w:p>
            <w:pPr>
              <w:jc w:val="right"/>
              <w:ind w:right="60"/>
              <w:spacing w:after="0"/>
              <w:rPr>
                <w:sz w:val="20"/>
                <w:szCs w:val="20"/>
                <w:color w:val="auto"/>
              </w:rPr>
            </w:pPr>
            <w:r>
              <w:rPr>
                <w:rFonts w:ascii="Arial" w:cs="Arial" w:eastAsia="Arial" w:hAnsi="Arial"/>
                <w:sz w:val="18"/>
                <w:szCs w:val="18"/>
                <w:b w:val="1"/>
                <w:bCs w:val="1"/>
                <w:color w:val="auto"/>
              </w:rPr>
              <w:t>(13.3)</w:t>
            </w:r>
          </w:p>
        </w:tc>
      </w:tr>
      <w:tr>
        <w:trPr>
          <w:trHeight w:val="27"/>
        </w:trPr>
        <w:tc>
          <w:tcPr>
            <w:tcW w:w="4580" w:type="dxa"/>
            <w:vAlign w:val="bottom"/>
          </w:tcPr>
          <w:p>
            <w:pPr>
              <w:spacing w:after="0"/>
              <w:rPr>
                <w:sz w:val="2"/>
                <w:szCs w:val="2"/>
                <w:color w:val="auto"/>
              </w:rPr>
            </w:pPr>
          </w:p>
        </w:tc>
        <w:tc>
          <w:tcPr>
            <w:tcW w:w="19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4580" w:type="dxa"/>
            <w:vAlign w:val="bottom"/>
            <w:shd w:val="clear" w:color="auto" w:fill="CCEEFF"/>
          </w:tcPr>
          <w:p>
            <w:pPr>
              <w:spacing w:after="0"/>
              <w:rPr>
                <w:sz w:val="18"/>
                <w:szCs w:val="18"/>
                <w:color w:val="auto"/>
              </w:rPr>
            </w:pPr>
          </w:p>
        </w:tc>
        <w:tc>
          <w:tcPr>
            <w:tcW w:w="2140" w:type="dxa"/>
            <w:vAlign w:val="bottom"/>
            <w:gridSpan w:val="2"/>
            <w:shd w:val="clear" w:color="auto" w:fill="CCEEFF"/>
          </w:tcPr>
          <w:p>
            <w:pPr>
              <w:ind w:left="1960"/>
              <w:spacing w:after="0"/>
              <w:rPr>
                <w:sz w:val="20"/>
                <w:szCs w:val="20"/>
                <w:color w:val="auto"/>
              </w:rPr>
            </w:pPr>
            <w:r>
              <w:rPr>
                <w:rFonts w:ascii="Arial" w:cs="Arial" w:eastAsia="Arial" w:hAnsi="Arial"/>
                <w:sz w:val="18"/>
                <w:szCs w:val="18"/>
                <w:b w:val="1"/>
                <w:bCs w:val="1"/>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146.4</w:t>
            </w:r>
          </w:p>
        </w:tc>
        <w:tc>
          <w:tcPr>
            <w:tcW w:w="6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rPr>
              <w:t>$</w:t>
            </w:r>
            <w:r>
              <w:rPr>
                <w:rFonts w:ascii="Arial" w:cs="Arial" w:eastAsia="Arial" w:hAnsi="Arial"/>
                <w:sz w:val="18"/>
                <w:szCs w:val="18"/>
                <w:b w:val="1"/>
                <w:bCs w:val="1"/>
                <w:color w:val="auto"/>
              </w:rPr>
              <w:t>104.8</w:t>
            </w:r>
          </w:p>
        </w:tc>
        <w:tc>
          <w:tcPr>
            <w:tcW w:w="120" w:type="dxa"/>
            <w:vAlign w:val="bottom"/>
            <w:shd w:val="clear" w:color="auto" w:fill="CCEEFF"/>
          </w:tcPr>
          <w:p>
            <w:pPr>
              <w:spacing w:after="0"/>
              <w:rPr>
                <w:sz w:val="18"/>
                <w:szCs w:val="18"/>
                <w:color w:val="auto"/>
              </w:rPr>
            </w:pPr>
          </w:p>
        </w:tc>
      </w:tr>
      <w:tr>
        <w:trPr>
          <w:trHeight w:val="20"/>
        </w:trPr>
        <w:tc>
          <w:tcPr>
            <w:tcW w:w="458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67" w:lineRule="exact"/>
        <w:rPr>
          <w:sz w:val="20"/>
          <w:szCs w:val="20"/>
          <w:color w:val="auto"/>
        </w:rPr>
      </w:pPr>
    </w:p>
    <w:p>
      <w:pPr>
        <w:jc w:val="both"/>
        <w:ind w:right="260" w:firstLine="456"/>
        <w:spacing w:after="0" w:line="259" w:lineRule="auto"/>
        <w:rPr>
          <w:sz w:val="20"/>
          <w:szCs w:val="20"/>
          <w:color w:val="auto"/>
        </w:rPr>
      </w:pPr>
      <w:r>
        <w:rPr>
          <w:rFonts w:ascii="Arial" w:cs="Arial" w:eastAsia="Arial" w:hAnsi="Arial"/>
          <w:sz w:val="18"/>
          <w:szCs w:val="18"/>
          <w:color w:val="auto"/>
        </w:rPr>
        <w:t>To comply with requests from our customers for longer payment terms, we may accept letters of credit with payment terms of up to one year or more, which we generally discount with various financial institutions. Under these arrangements, collection risk is fully transferred to the financial institutions. We record the cost of discounting these letters of credit as interest expense. During the second</w:t>
      </w:r>
    </w:p>
    <w:p>
      <w:pPr>
        <w:spacing w:after="0" w:line="127"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260"/>
          </w:cols>
          <w:pgMar w:left="240" w:top="459" w:right="39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306" w:lineRule="auto"/>
        <w:rPr>
          <w:sz w:val="20"/>
          <w:szCs w:val="20"/>
          <w:color w:val="auto"/>
        </w:rPr>
      </w:pPr>
      <w:r>
        <w:rPr>
          <w:rFonts w:ascii="Arial" w:cs="Arial" w:eastAsia="Arial" w:hAnsi="Arial"/>
          <w:sz w:val="16"/>
          <w:szCs w:val="16"/>
          <w:color w:val="auto"/>
        </w:rPr>
        <w:t>quarter of fiscal 2011 and fiscal 2010 we discounted customer letters of credit totaling $25.4 million and $20.7 million, respectively, and recorded related interest expense of $0.3 million and $0.2 million, respectively. During the first two quarters of fiscal 2011 and fiscal 2010 we discounted customer letters of credit totaling $29.7 million and $41.5 million, respectively, and recorded related interest expense of $0.4 million and $0.4 million, respectively.</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Inventories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inventories are summarized below:</w:t>
      </w:r>
    </w:p>
    <w:p>
      <w:pPr>
        <w:spacing w:after="0" w:line="195"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6660" w:type="dxa"/>
            <w:vAlign w:val="bottom"/>
          </w:tcPr>
          <w:p>
            <w:pPr>
              <w:spacing w:after="0"/>
              <w:rPr>
                <w:sz w:val="14"/>
                <w:szCs w:val="14"/>
                <w:color w:val="auto"/>
              </w:rPr>
            </w:pPr>
          </w:p>
        </w:tc>
        <w:tc>
          <w:tcPr>
            <w:tcW w:w="1400" w:type="dxa"/>
            <w:vAlign w:val="bottom"/>
            <w:gridSpan w:val="4"/>
          </w:tcPr>
          <w:p>
            <w:pPr>
              <w:spacing w:after="0"/>
              <w:rPr>
                <w:sz w:val="20"/>
                <w:szCs w:val="20"/>
                <w:color w:val="auto"/>
              </w:rPr>
            </w:pPr>
            <w:r>
              <w:rPr>
                <w:rFonts w:ascii="Arial" w:cs="Arial" w:eastAsia="Arial" w:hAnsi="Arial"/>
                <w:sz w:val="14"/>
                <w:szCs w:val="14"/>
                <w:b w:val="1"/>
                <w:bCs w:val="1"/>
                <w:color w:val="auto"/>
              </w:rPr>
              <w:t>December 31,</w:t>
            </w:r>
          </w:p>
        </w:tc>
        <w:tc>
          <w:tcPr>
            <w:tcW w:w="120" w:type="dxa"/>
            <w:vAlign w:val="bottom"/>
          </w:tcPr>
          <w:p>
            <w:pPr>
              <w:spacing w:after="0"/>
              <w:rPr>
                <w:sz w:val="14"/>
                <w:szCs w:val="14"/>
                <w:color w:val="auto"/>
              </w:rPr>
            </w:pPr>
          </w:p>
        </w:tc>
        <w:tc>
          <w:tcPr>
            <w:tcW w:w="500" w:type="dxa"/>
            <w:vAlign w:val="bottom"/>
            <w:gridSpan w:val="2"/>
          </w:tcPr>
          <w:p>
            <w:pPr>
              <w:spacing w:after="0"/>
              <w:rPr>
                <w:sz w:val="20"/>
                <w:szCs w:val="20"/>
                <w:color w:val="auto"/>
              </w:rPr>
            </w:pPr>
            <w:r>
              <w:rPr>
                <w:rFonts w:ascii="Arial" w:cs="Arial" w:eastAsia="Arial" w:hAnsi="Arial"/>
                <w:sz w:val="14"/>
                <w:szCs w:val="14"/>
                <w:b w:val="1"/>
                <w:bCs w:val="1"/>
                <w:color w:val="auto"/>
              </w:rPr>
              <w:t>July 2,</w:t>
            </w:r>
          </w:p>
        </w:tc>
      </w:tr>
      <w:tr>
        <w:trPr>
          <w:trHeight w:val="161"/>
        </w:trPr>
        <w:tc>
          <w:tcPr>
            <w:tcW w:w="6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jc w:val="right"/>
              <w:ind w:right="179"/>
              <w:spacing w:after="0"/>
              <w:rPr>
                <w:sz w:val="20"/>
                <w:szCs w:val="20"/>
                <w:color w:val="auto"/>
              </w:rPr>
            </w:pPr>
            <w:r>
              <w:rPr>
                <w:rFonts w:ascii="Arial" w:cs="Arial" w:eastAsia="Arial" w:hAnsi="Arial"/>
                <w:sz w:val="14"/>
                <w:szCs w:val="14"/>
                <w:b w:val="1"/>
                <w:bCs w:val="1"/>
                <w:color w:val="auto"/>
              </w:rPr>
              <w:t>2010</w:t>
            </w:r>
          </w:p>
        </w:tc>
        <w:tc>
          <w:tcPr>
            <w:tcW w:w="600" w:type="dxa"/>
            <w:vAlign w:val="bottom"/>
          </w:tcPr>
          <w:p>
            <w:pPr>
              <w:spacing w:after="0"/>
              <w:rPr>
                <w:sz w:val="14"/>
                <w:szCs w:val="14"/>
                <w:color w:val="auto"/>
              </w:rPr>
            </w:pPr>
          </w:p>
        </w:tc>
        <w:tc>
          <w:tcPr>
            <w:tcW w:w="520" w:type="dxa"/>
            <w:vAlign w:val="bottom"/>
            <w:gridSpan w:val="2"/>
          </w:tcPr>
          <w:p>
            <w:pPr>
              <w:jc w:val="right"/>
              <w:ind w:right="2"/>
              <w:spacing w:after="0"/>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4"/>
                <w:szCs w:val="14"/>
                <w:color w:val="auto"/>
              </w:rPr>
            </w:pPr>
          </w:p>
        </w:tc>
      </w:tr>
      <w:tr>
        <w:trPr>
          <w:trHeight w:val="142"/>
        </w:trPr>
        <w:tc>
          <w:tcPr>
            <w:tcW w:w="6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(In</w:t>
            </w:r>
          </w:p>
        </w:tc>
        <w:tc>
          <w:tcPr>
            <w:tcW w:w="600" w:type="dxa"/>
            <w:vAlign w:val="bottom"/>
          </w:tcPr>
          <w:p>
            <w:pPr>
              <w:spacing w:after="0" w:line="142" w:lineRule="exact"/>
              <w:rPr>
                <w:sz w:val="20"/>
                <w:szCs w:val="20"/>
                <w:color w:val="auto"/>
              </w:rPr>
            </w:pPr>
            <w:r>
              <w:rPr>
                <w:rFonts w:ascii="Arial" w:cs="Arial" w:eastAsia="Arial" w:hAnsi="Arial"/>
                <w:sz w:val="14"/>
                <w:szCs w:val="14"/>
                <w:b w:val="1"/>
                <w:bCs w:val="1"/>
                <w:color w:val="auto"/>
              </w:rPr>
              <w:t>millions)</w:t>
            </w:r>
          </w:p>
        </w:tc>
        <w:tc>
          <w:tcPr>
            <w:tcW w:w="120" w:type="dxa"/>
            <w:vAlign w:val="bottom"/>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6660" w:type="dxa"/>
            <w:vAlign w:val="bottom"/>
            <w:shd w:val="clear" w:color="auto" w:fill="CCEEFF"/>
          </w:tcPr>
          <w:p>
            <w:pPr>
              <w:spacing w:after="0"/>
              <w:rPr>
                <w:sz w:val="20"/>
                <w:szCs w:val="20"/>
                <w:color w:val="auto"/>
              </w:rPr>
            </w:pPr>
            <w:r>
              <w:rPr>
                <w:rFonts w:ascii="Arial" w:cs="Arial" w:eastAsia="Arial" w:hAnsi="Arial"/>
                <w:sz w:val="18"/>
                <w:szCs w:val="18"/>
                <w:color w:val="auto"/>
              </w:rPr>
              <w:t>Finished products</w:t>
            </w:r>
          </w:p>
        </w:tc>
        <w:tc>
          <w:tcPr>
            <w:tcW w:w="1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57.5</w:t>
            </w:r>
          </w:p>
        </w:tc>
        <w:tc>
          <w:tcPr>
            <w:tcW w:w="6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$60.4</w:t>
            </w:r>
          </w:p>
        </w:tc>
        <w:tc>
          <w:tcPr>
            <w:tcW w:w="100" w:type="dxa"/>
            <w:vAlign w:val="bottom"/>
            <w:shd w:val="clear" w:color="auto" w:fill="CCEEFF"/>
          </w:tcPr>
          <w:p>
            <w:pPr>
              <w:spacing w:after="0"/>
              <w:rPr>
                <w:sz w:val="18"/>
                <w:szCs w:val="18"/>
                <w:color w:val="auto"/>
              </w:rPr>
            </w:pPr>
          </w:p>
        </w:tc>
      </w:tr>
      <w:tr>
        <w:trPr>
          <w:trHeight w:val="216"/>
        </w:trPr>
        <w:tc>
          <w:tcPr>
            <w:tcW w:w="6660" w:type="dxa"/>
            <w:vAlign w:val="bottom"/>
          </w:tcPr>
          <w:p>
            <w:pPr>
              <w:spacing w:after="0"/>
              <w:rPr>
                <w:sz w:val="20"/>
                <w:szCs w:val="20"/>
                <w:color w:val="auto"/>
              </w:rPr>
            </w:pPr>
            <w:r>
              <w:rPr>
                <w:rFonts w:ascii="Arial" w:cs="Arial" w:eastAsia="Arial" w:hAnsi="Arial"/>
                <w:sz w:val="18"/>
                <w:szCs w:val="18"/>
                <w:color w:val="auto"/>
              </w:rPr>
              <w:t>Work in process</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b w:val="1"/>
                <w:bCs w:val="1"/>
                <w:color w:val="auto"/>
              </w:rPr>
              <w:t>7.0</w:t>
            </w:r>
          </w:p>
        </w:tc>
        <w:tc>
          <w:tcPr>
            <w:tcW w:w="60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b w:val="1"/>
                <w:bCs w:val="1"/>
                <w:color w:val="auto"/>
              </w:rPr>
              <w:t>8.0</w:t>
            </w:r>
          </w:p>
        </w:tc>
        <w:tc>
          <w:tcPr>
            <w:tcW w:w="100" w:type="dxa"/>
            <w:vAlign w:val="bottom"/>
          </w:tcPr>
          <w:p>
            <w:pPr>
              <w:spacing w:after="0"/>
              <w:rPr>
                <w:sz w:val="18"/>
                <w:szCs w:val="18"/>
                <w:color w:val="auto"/>
              </w:rPr>
            </w:pPr>
          </w:p>
        </w:tc>
      </w:tr>
      <w:tr>
        <w:trPr>
          <w:trHeight w:val="216"/>
        </w:trPr>
        <w:tc>
          <w:tcPr>
            <w:tcW w:w="6660" w:type="dxa"/>
            <w:vAlign w:val="bottom"/>
            <w:shd w:val="clear" w:color="auto" w:fill="CCEEFF"/>
          </w:tcPr>
          <w:p>
            <w:pPr>
              <w:spacing w:after="0"/>
              <w:rPr>
                <w:sz w:val="20"/>
                <w:szCs w:val="20"/>
                <w:color w:val="auto"/>
              </w:rPr>
            </w:pPr>
            <w:r>
              <w:rPr>
                <w:rFonts w:ascii="Arial" w:cs="Arial" w:eastAsia="Arial" w:hAnsi="Arial"/>
                <w:sz w:val="18"/>
                <w:szCs w:val="18"/>
                <w:color w:val="auto"/>
              </w:rPr>
              <w:t>Raw materials and supplies</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7.8</w:t>
            </w:r>
          </w:p>
        </w:tc>
        <w:tc>
          <w:tcPr>
            <w:tcW w:w="6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5.1</w:t>
            </w:r>
          </w:p>
        </w:tc>
        <w:tc>
          <w:tcPr>
            <w:tcW w:w="100" w:type="dxa"/>
            <w:vAlign w:val="bottom"/>
            <w:shd w:val="clear" w:color="auto" w:fill="CCEEFF"/>
          </w:tcPr>
          <w:p>
            <w:pPr>
              <w:spacing w:after="0"/>
              <w:rPr>
                <w:sz w:val="18"/>
                <w:szCs w:val="18"/>
                <w:color w:val="auto"/>
              </w:rPr>
            </w:pPr>
          </w:p>
        </w:tc>
      </w:tr>
      <w:tr>
        <w:trPr>
          <w:trHeight w:val="223"/>
        </w:trPr>
        <w:tc>
          <w:tcPr>
            <w:tcW w:w="66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72.3</w:t>
            </w: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u w:val="single" w:color="auto"/>
                <w:color w:val="auto"/>
                <w:w w:val="84"/>
              </w:rPr>
              <w:t>$</w:t>
            </w:r>
            <w:r>
              <w:rPr>
                <w:rFonts w:ascii="Arial" w:cs="Arial" w:eastAsia="Arial" w:hAnsi="Arial"/>
                <w:sz w:val="18"/>
                <w:szCs w:val="18"/>
                <w:b w:val="1"/>
                <w:bCs w:val="1"/>
                <w:color w:val="auto"/>
                <w:w w:val="84"/>
              </w:rPr>
              <w:t>73.5</w:t>
            </w:r>
          </w:p>
        </w:tc>
        <w:tc>
          <w:tcPr>
            <w:tcW w:w="100" w:type="dxa"/>
            <w:vAlign w:val="bottom"/>
          </w:tcPr>
          <w:p>
            <w:pPr>
              <w:spacing w:after="0"/>
              <w:rPr>
                <w:sz w:val="19"/>
                <w:szCs w:val="19"/>
                <w:color w:val="auto"/>
              </w:rPr>
            </w:pPr>
          </w:p>
        </w:tc>
      </w:tr>
      <w:tr>
        <w:trPr>
          <w:trHeight w:val="20"/>
        </w:trPr>
        <w:tc>
          <w:tcPr>
            <w:tcW w:w="6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Prior to fiscal 2011, we capitalized most of the costs associated with our internal manufacturing operations as a component of the overall cost of product inventory. Beginning in the first quarter of fiscal 2011, the manufacturing of our products was handled primarily by contract manufacturers with the intent to complete all activity transfer by the end of fiscal 2011. Accordingly, the costs associated with our internal operations organization are now expensed as incurred. Gross margin in the first half of fiscal 2011 was negatively impacted by the immediate expensing of $6.0 million of such costs in the first quarter of fiscal 2011. During the second quarter of fiscal 2011, due to a contract manufacturer closing a facility, we chose to bring final assembly of our current products for North America into our own facility temporarily while we continued to work on transfer of these activities to another contract manufacturer. We intend to have this final assembly activity transition to a new contract manufacturer by the end of fiscal 2011.</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Property, Plant and Equipment</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property, plant and equipment are summarized below:</w:t>
      </w:r>
    </w:p>
    <w:p>
      <w:pPr>
        <w:spacing w:after="0" w:line="195"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4960" w:type="dxa"/>
            <w:vAlign w:val="bottom"/>
          </w:tcPr>
          <w:p>
            <w:pPr>
              <w:spacing w:after="0"/>
              <w:rPr>
                <w:sz w:val="14"/>
                <w:szCs w:val="14"/>
                <w:color w:val="auto"/>
              </w:rPr>
            </w:pPr>
          </w:p>
        </w:tc>
        <w:tc>
          <w:tcPr>
            <w:tcW w:w="3020" w:type="dxa"/>
            <w:vAlign w:val="bottom"/>
            <w:gridSpan w:val="4"/>
          </w:tcPr>
          <w:p>
            <w:pPr>
              <w:ind w:left="1560"/>
              <w:spacing w:after="0"/>
              <w:rPr>
                <w:sz w:val="20"/>
                <w:szCs w:val="20"/>
                <w:color w:val="auto"/>
              </w:rPr>
            </w:pPr>
            <w:r>
              <w:rPr>
                <w:rFonts w:ascii="Arial" w:cs="Arial" w:eastAsia="Arial" w:hAnsi="Arial"/>
                <w:sz w:val="14"/>
                <w:szCs w:val="14"/>
                <w:b w:val="1"/>
                <w:bCs w:val="1"/>
                <w:color w:val="auto"/>
              </w:rPr>
              <w:t>December 31,</w:t>
            </w:r>
          </w:p>
        </w:tc>
        <w:tc>
          <w:tcPr>
            <w:tcW w:w="120" w:type="dxa"/>
            <w:vAlign w:val="bottom"/>
          </w:tcPr>
          <w:p>
            <w:pPr>
              <w:spacing w:after="0"/>
              <w:rPr>
                <w:sz w:val="14"/>
                <w:szCs w:val="14"/>
                <w:color w:val="auto"/>
              </w:rPr>
            </w:pPr>
          </w:p>
        </w:tc>
        <w:tc>
          <w:tcPr>
            <w:tcW w:w="580" w:type="dxa"/>
            <w:vAlign w:val="bottom"/>
            <w:gridSpan w:val="3"/>
          </w:tcPr>
          <w:p>
            <w:pPr>
              <w:jc w:val="right"/>
              <w:ind w:right="160"/>
              <w:spacing w:after="0"/>
              <w:rPr>
                <w:sz w:val="20"/>
                <w:szCs w:val="20"/>
                <w:color w:val="auto"/>
              </w:rPr>
            </w:pPr>
            <w:r>
              <w:rPr>
                <w:rFonts w:ascii="Arial" w:cs="Arial" w:eastAsia="Arial" w:hAnsi="Arial"/>
                <w:sz w:val="14"/>
                <w:szCs w:val="14"/>
                <w:b w:val="1"/>
                <w:bCs w:val="1"/>
                <w:color w:val="auto"/>
                <w:w w:val="91"/>
              </w:rPr>
              <w:t>July 2,</w:t>
            </w:r>
          </w:p>
        </w:tc>
      </w:tr>
      <w:tr>
        <w:trPr>
          <w:trHeight w:val="161"/>
        </w:trPr>
        <w:tc>
          <w:tcPr>
            <w:tcW w:w="496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97"/>
              <w:spacing w:after="0"/>
              <w:rPr>
                <w:sz w:val="20"/>
                <w:szCs w:val="20"/>
                <w:color w:val="auto"/>
              </w:rPr>
            </w:pPr>
            <w:r>
              <w:rPr>
                <w:rFonts w:ascii="Arial" w:cs="Arial" w:eastAsia="Arial" w:hAnsi="Arial"/>
                <w:sz w:val="14"/>
                <w:szCs w:val="14"/>
                <w:b w:val="1"/>
                <w:bCs w:val="1"/>
                <w:color w:val="auto"/>
              </w:rPr>
              <w:t>2010</w:t>
            </w: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jc w:val="right"/>
              <w:ind w:right="15"/>
              <w:spacing w:after="0"/>
              <w:rPr>
                <w:sz w:val="20"/>
                <w:szCs w:val="20"/>
                <w:color w:val="auto"/>
              </w:rPr>
            </w:pPr>
            <w:r>
              <w:rPr>
                <w:rFonts w:ascii="Arial" w:cs="Arial" w:eastAsia="Arial" w:hAnsi="Arial"/>
                <w:sz w:val="14"/>
                <w:szCs w:val="14"/>
                <w:b w:val="1"/>
                <w:bCs w:val="1"/>
                <w:color w:val="auto"/>
                <w:w w:val="83"/>
              </w:rPr>
              <w:t>2010</w:t>
            </w:r>
          </w:p>
        </w:tc>
        <w:tc>
          <w:tcPr>
            <w:tcW w:w="120" w:type="dxa"/>
            <w:vAlign w:val="bottom"/>
          </w:tcPr>
          <w:p>
            <w:pPr>
              <w:spacing w:after="0"/>
              <w:rPr>
                <w:sz w:val="14"/>
                <w:szCs w:val="14"/>
                <w:color w:val="auto"/>
              </w:rPr>
            </w:pPr>
          </w:p>
        </w:tc>
      </w:tr>
      <w:tr>
        <w:trPr>
          <w:trHeight w:val="142"/>
        </w:trPr>
        <w:tc>
          <w:tcPr>
            <w:tcW w:w="496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(In</w:t>
            </w:r>
          </w:p>
        </w:tc>
        <w:tc>
          <w:tcPr>
            <w:tcW w:w="660" w:type="dxa"/>
            <w:vAlign w:val="bottom"/>
          </w:tcPr>
          <w:p>
            <w:pPr>
              <w:jc w:val="right"/>
              <w:ind w:right="32"/>
              <w:spacing w:after="0" w:line="142" w:lineRule="exact"/>
              <w:rPr>
                <w:sz w:val="20"/>
                <w:szCs w:val="20"/>
                <w:color w:val="auto"/>
              </w:rPr>
            </w:pPr>
            <w:r>
              <w:rPr>
                <w:rFonts w:ascii="Arial" w:cs="Arial" w:eastAsia="Arial" w:hAnsi="Arial"/>
                <w:sz w:val="14"/>
                <w:szCs w:val="14"/>
                <w:b w:val="1"/>
                <w:bCs w:val="1"/>
                <w:color w:val="auto"/>
                <w:w w:val="93"/>
              </w:rPr>
              <w:t>millions)</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216"/>
        </w:trPr>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Land</w:t>
            </w:r>
          </w:p>
        </w:tc>
        <w:tc>
          <w:tcPr>
            <w:tcW w:w="1720" w:type="dxa"/>
            <w:vAlign w:val="bottom"/>
            <w:gridSpan w:val="2"/>
            <w:shd w:val="clear" w:color="auto" w:fill="CCEEFF"/>
          </w:tcPr>
          <w:p>
            <w:pPr>
              <w:ind w:left="1540"/>
              <w:spacing w:after="0"/>
              <w:rPr>
                <w:sz w:val="20"/>
                <w:szCs w:val="20"/>
                <w:color w:val="auto"/>
              </w:rPr>
            </w:pPr>
            <w:r>
              <w:rPr>
                <w:rFonts w:ascii="Arial" w:cs="Arial" w:eastAsia="Arial" w:hAnsi="Arial"/>
                <w:sz w:val="18"/>
                <w:szCs w:val="18"/>
                <w:b w:val="1"/>
                <w:bCs w:val="1"/>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0.7</w:t>
            </w:r>
          </w:p>
        </w:tc>
        <w:tc>
          <w:tcPr>
            <w:tcW w:w="66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0.7</w:t>
            </w:r>
          </w:p>
        </w:tc>
        <w:tc>
          <w:tcPr>
            <w:tcW w:w="120" w:type="dxa"/>
            <w:vAlign w:val="bottom"/>
            <w:shd w:val="clear" w:color="auto" w:fill="CCEEFF"/>
          </w:tcPr>
          <w:p>
            <w:pPr>
              <w:spacing w:after="0"/>
              <w:rPr>
                <w:sz w:val="18"/>
                <w:szCs w:val="18"/>
                <w:color w:val="auto"/>
              </w:rPr>
            </w:pPr>
          </w:p>
        </w:tc>
      </w:tr>
      <w:tr>
        <w:trPr>
          <w:trHeight w:val="216"/>
        </w:trPr>
        <w:tc>
          <w:tcPr>
            <w:tcW w:w="4960" w:type="dxa"/>
            <w:vAlign w:val="bottom"/>
          </w:tcPr>
          <w:p>
            <w:pPr>
              <w:spacing w:after="0"/>
              <w:rPr>
                <w:sz w:val="20"/>
                <w:szCs w:val="20"/>
                <w:color w:val="auto"/>
              </w:rPr>
            </w:pPr>
            <w:r>
              <w:rPr>
                <w:rFonts w:ascii="Arial" w:cs="Arial" w:eastAsia="Arial" w:hAnsi="Arial"/>
                <w:sz w:val="18"/>
                <w:szCs w:val="18"/>
                <w:color w:val="auto"/>
              </w:rPr>
              <w:t>Buildings</w:t>
            </w:r>
          </w:p>
        </w:tc>
        <w:tc>
          <w:tcPr>
            <w:tcW w:w="1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b w:val="1"/>
                <w:bCs w:val="1"/>
                <w:color w:val="auto"/>
              </w:rPr>
              <w:t>8.9</w:t>
            </w: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b w:val="1"/>
                <w:bCs w:val="1"/>
                <w:color w:val="auto"/>
              </w:rPr>
              <w:t>9.8</w:t>
            </w:r>
          </w:p>
        </w:tc>
        <w:tc>
          <w:tcPr>
            <w:tcW w:w="120" w:type="dxa"/>
            <w:vAlign w:val="bottom"/>
          </w:tcPr>
          <w:p>
            <w:pPr>
              <w:spacing w:after="0"/>
              <w:rPr>
                <w:sz w:val="18"/>
                <w:szCs w:val="18"/>
                <w:color w:val="auto"/>
              </w:rPr>
            </w:pPr>
          </w:p>
        </w:tc>
      </w:tr>
      <w:tr>
        <w:trPr>
          <w:trHeight w:val="216"/>
        </w:trPr>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Software developed for internal use</w:t>
            </w:r>
          </w:p>
        </w:tc>
        <w:tc>
          <w:tcPr>
            <w:tcW w:w="1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6.8</w:t>
            </w: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6.7</w:t>
            </w:r>
          </w:p>
        </w:tc>
        <w:tc>
          <w:tcPr>
            <w:tcW w:w="120" w:type="dxa"/>
            <w:vAlign w:val="bottom"/>
            <w:shd w:val="clear" w:color="auto" w:fill="CCEEFF"/>
          </w:tcPr>
          <w:p>
            <w:pPr>
              <w:spacing w:after="0"/>
              <w:rPr>
                <w:sz w:val="18"/>
                <w:szCs w:val="18"/>
                <w:color w:val="auto"/>
              </w:rPr>
            </w:pPr>
          </w:p>
        </w:tc>
      </w:tr>
      <w:tr>
        <w:trPr>
          <w:trHeight w:val="223"/>
        </w:trPr>
        <w:tc>
          <w:tcPr>
            <w:tcW w:w="4960" w:type="dxa"/>
            <w:vAlign w:val="bottom"/>
          </w:tcPr>
          <w:p>
            <w:pPr>
              <w:spacing w:after="0"/>
              <w:rPr>
                <w:sz w:val="20"/>
                <w:szCs w:val="20"/>
                <w:color w:val="auto"/>
              </w:rPr>
            </w:pPr>
            <w:r>
              <w:rPr>
                <w:rFonts w:ascii="Arial" w:cs="Arial" w:eastAsia="Arial" w:hAnsi="Arial"/>
                <w:sz w:val="18"/>
                <w:szCs w:val="18"/>
                <w:color w:val="auto"/>
              </w:rPr>
              <w:t>Machinery and equipment</w:t>
            </w:r>
          </w:p>
        </w:tc>
        <w:tc>
          <w:tcPr>
            <w:tcW w:w="15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93.7</w:t>
            </w: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94.1</w:t>
            </w:r>
          </w:p>
        </w:tc>
        <w:tc>
          <w:tcPr>
            <w:tcW w:w="120" w:type="dxa"/>
            <w:vAlign w:val="bottom"/>
          </w:tcPr>
          <w:p>
            <w:pPr>
              <w:spacing w:after="0"/>
              <w:rPr>
                <w:sz w:val="19"/>
                <w:szCs w:val="19"/>
                <w:color w:val="auto"/>
              </w:rPr>
            </w:pPr>
          </w:p>
        </w:tc>
      </w:tr>
      <w:tr>
        <w:trPr>
          <w:trHeight w:val="216"/>
        </w:trPr>
        <w:tc>
          <w:tcPr>
            <w:tcW w:w="496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110.1</w:t>
            </w: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111.3</w:t>
            </w:r>
          </w:p>
        </w:tc>
        <w:tc>
          <w:tcPr>
            <w:tcW w:w="120" w:type="dxa"/>
            <w:vAlign w:val="bottom"/>
            <w:shd w:val="clear" w:color="auto" w:fill="CCEEFF"/>
          </w:tcPr>
          <w:p>
            <w:pPr>
              <w:spacing w:after="0"/>
              <w:rPr>
                <w:sz w:val="18"/>
                <w:szCs w:val="18"/>
                <w:color w:val="auto"/>
              </w:rPr>
            </w:pPr>
          </w:p>
        </w:tc>
      </w:tr>
      <w:tr>
        <w:trPr>
          <w:trHeight w:val="216"/>
        </w:trPr>
        <w:tc>
          <w:tcPr>
            <w:tcW w:w="4960" w:type="dxa"/>
            <w:vAlign w:val="bottom"/>
          </w:tcPr>
          <w:p>
            <w:pPr>
              <w:spacing w:after="0"/>
              <w:rPr>
                <w:sz w:val="20"/>
                <w:szCs w:val="20"/>
                <w:color w:val="auto"/>
              </w:rPr>
            </w:pPr>
            <w:r>
              <w:rPr>
                <w:rFonts w:ascii="Arial" w:cs="Arial" w:eastAsia="Arial" w:hAnsi="Arial"/>
                <w:sz w:val="18"/>
                <w:szCs w:val="18"/>
                <w:color w:val="auto"/>
              </w:rPr>
              <w:t>Less accumulated depreciation and amortization</w:t>
            </w:r>
          </w:p>
        </w:tc>
        <w:tc>
          <w:tcPr>
            <w:tcW w:w="1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552"/>
              <w:spacing w:after="0"/>
              <w:rPr>
                <w:sz w:val="20"/>
                <w:szCs w:val="20"/>
                <w:color w:val="auto"/>
              </w:rPr>
            </w:pPr>
            <w:r>
              <w:rPr>
                <w:rFonts w:ascii="Arial" w:cs="Arial" w:eastAsia="Arial" w:hAnsi="Arial"/>
                <w:sz w:val="18"/>
                <w:szCs w:val="18"/>
                <w:b w:val="1"/>
                <w:bCs w:val="1"/>
                <w:color w:val="auto"/>
              </w:rPr>
              <w:t>(73.2)</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w w:val="89"/>
              </w:rPr>
              <w:t>(73.7)</w:t>
            </w:r>
          </w:p>
        </w:tc>
      </w:tr>
      <w:tr>
        <w:trPr>
          <w:trHeight w:val="27"/>
        </w:trPr>
        <w:tc>
          <w:tcPr>
            <w:tcW w:w="49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496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ind w:left="1540"/>
              <w:spacing w:after="0"/>
              <w:rPr>
                <w:sz w:val="20"/>
                <w:szCs w:val="20"/>
                <w:color w:val="auto"/>
              </w:rPr>
            </w:pPr>
            <w:r>
              <w:rPr>
                <w:rFonts w:ascii="Arial" w:cs="Arial" w:eastAsia="Arial" w:hAnsi="Arial"/>
                <w:sz w:val="18"/>
                <w:szCs w:val="18"/>
                <w:b w:val="1"/>
                <w:bCs w:val="1"/>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36.9</w:t>
            </w:r>
          </w:p>
        </w:tc>
        <w:tc>
          <w:tcPr>
            <w:tcW w:w="66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37.6</w:t>
            </w:r>
          </w:p>
        </w:tc>
        <w:tc>
          <w:tcPr>
            <w:tcW w:w="120" w:type="dxa"/>
            <w:vAlign w:val="bottom"/>
            <w:shd w:val="clear" w:color="auto" w:fill="CCEEFF"/>
          </w:tcPr>
          <w:p>
            <w:pPr>
              <w:spacing w:after="0"/>
              <w:rPr>
                <w:sz w:val="18"/>
                <w:szCs w:val="18"/>
                <w:color w:val="auto"/>
              </w:rPr>
            </w:pPr>
          </w:p>
        </w:tc>
      </w:tr>
      <w:tr>
        <w:trPr>
          <w:trHeight w:val="20"/>
        </w:trPr>
        <w:tc>
          <w:tcPr>
            <w:tcW w:w="49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67" w:lineRule="exact"/>
        <w:rPr>
          <w:sz w:val="20"/>
          <w:szCs w:val="20"/>
          <w:color w:val="auto"/>
        </w:rPr>
      </w:pPr>
    </w:p>
    <w:p>
      <w:pPr>
        <w:jc w:val="both"/>
        <w:ind w:right="140" w:firstLine="456"/>
        <w:spacing w:after="0" w:line="259" w:lineRule="auto"/>
        <w:rPr>
          <w:sz w:val="20"/>
          <w:szCs w:val="20"/>
          <w:color w:val="auto"/>
        </w:rPr>
      </w:pPr>
      <w:r>
        <w:rPr>
          <w:rFonts w:ascii="Arial" w:cs="Arial" w:eastAsia="Arial" w:hAnsi="Arial"/>
          <w:sz w:val="18"/>
          <w:szCs w:val="18"/>
          <w:color w:val="auto"/>
        </w:rPr>
        <w:t>Depreciation and amortization expense related to property, plant and equipment, including amortization of software developed for internal use, was $1.7 million and $4.1 million, respectively, during the quarters ended December 31, 2010 and January 1, 2010, and $5.3 million and $9.4 million, respectively, in the two quarters ended December 31, 2010 and January 1, 2010.</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Accrued Warranties</w:t>
      </w:r>
    </w:p>
    <w:p>
      <w:pPr>
        <w:spacing w:after="0" w:line="96"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Changes in our warranty liability, which is included as a component of other accrued expenses on the Condensed Consolidated Balance Sheets, during the first two quarters of fiscal 2011and fiscal 2010 are as follows:</w:t>
      </w:r>
    </w:p>
    <w:p>
      <w:pPr>
        <w:spacing w:after="0" w:line="168"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420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gridSpan w:val="4"/>
          </w:tcPr>
          <w:p>
            <w:pPr>
              <w:ind w:left="380"/>
              <w:spacing w:after="0"/>
              <w:rPr>
                <w:sz w:val="20"/>
                <w:szCs w:val="20"/>
                <w:color w:val="auto"/>
              </w:rPr>
            </w:pPr>
            <w:r>
              <w:rPr>
                <w:rFonts w:ascii="Arial" w:cs="Arial" w:eastAsia="Arial" w:hAnsi="Arial"/>
                <w:sz w:val="14"/>
                <w:szCs w:val="14"/>
                <w:b w:val="1"/>
                <w:bCs w:val="1"/>
                <w:color w:val="auto"/>
                <w:w w:val="91"/>
              </w:rPr>
              <w:t>Two Quarters Ended</w:t>
            </w:r>
          </w:p>
        </w:tc>
        <w:tc>
          <w:tcPr>
            <w:tcW w:w="4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4200" w:type="dxa"/>
            <w:vAlign w:val="bottom"/>
          </w:tcPr>
          <w:p>
            <w:pPr>
              <w:spacing w:after="0"/>
              <w:rPr>
                <w:sz w:val="11"/>
                <w:szCs w:val="11"/>
                <w:color w:val="auto"/>
              </w:rPr>
            </w:pPr>
          </w:p>
        </w:tc>
        <w:tc>
          <w:tcPr>
            <w:tcW w:w="2040" w:type="dxa"/>
            <w:vAlign w:val="bottom"/>
          </w:tcPr>
          <w:p>
            <w:pPr>
              <w:spacing w:after="0"/>
              <w:rPr>
                <w:sz w:val="11"/>
                <w:szCs w:val="11"/>
                <w:color w:val="auto"/>
              </w:rPr>
            </w:pPr>
          </w:p>
        </w:tc>
        <w:tc>
          <w:tcPr>
            <w:tcW w:w="160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December 31,</w:t>
            </w:r>
          </w:p>
        </w:tc>
        <w:tc>
          <w:tcPr>
            <w:tcW w:w="720" w:type="dxa"/>
            <w:vAlign w:val="bottom"/>
            <w:gridSpan w:val="3"/>
          </w:tcPr>
          <w:p>
            <w:pPr>
              <w:ind w:left="100"/>
              <w:spacing w:after="0" w:line="129" w:lineRule="exact"/>
              <w:rPr>
                <w:sz w:val="20"/>
                <w:szCs w:val="20"/>
                <w:color w:val="auto"/>
              </w:rPr>
            </w:pPr>
            <w:r>
              <w:rPr>
                <w:rFonts w:ascii="Arial" w:cs="Arial" w:eastAsia="Arial" w:hAnsi="Arial"/>
                <w:sz w:val="14"/>
                <w:szCs w:val="14"/>
                <w:b w:val="1"/>
                <w:bCs w:val="1"/>
                <w:color w:val="auto"/>
                <w:w w:val="86"/>
              </w:rPr>
              <w:t>January 1,</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420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79"/>
              <w:spacing w:after="0"/>
              <w:rPr>
                <w:sz w:val="20"/>
                <w:szCs w:val="20"/>
                <w:color w:val="auto"/>
              </w:rPr>
            </w:pPr>
            <w:r>
              <w:rPr>
                <w:rFonts w:ascii="Arial" w:cs="Arial" w:eastAsia="Arial" w:hAnsi="Arial"/>
                <w:sz w:val="14"/>
                <w:szCs w:val="14"/>
                <w:b w:val="1"/>
                <w:bCs w:val="1"/>
                <w:color w:val="auto"/>
              </w:rPr>
              <w:t>2010</w:t>
            </w:r>
          </w:p>
        </w:tc>
        <w:tc>
          <w:tcPr>
            <w:tcW w:w="800" w:type="dxa"/>
            <w:vAlign w:val="bottom"/>
            <w:vMerge w:val="restart"/>
          </w:tcPr>
          <w:p>
            <w:pPr>
              <w:jc w:val="right"/>
              <w:ind w:right="12"/>
              <w:spacing w:after="0"/>
              <w:rPr>
                <w:sz w:val="20"/>
                <w:szCs w:val="20"/>
                <w:color w:val="auto"/>
              </w:rPr>
            </w:pPr>
            <w:r>
              <w:rPr>
                <w:rFonts w:ascii="Arial" w:cs="Arial" w:eastAsia="Arial" w:hAnsi="Arial"/>
                <w:sz w:val="14"/>
                <w:szCs w:val="14"/>
                <w:b w:val="1"/>
                <w:bCs w:val="1"/>
                <w:color w:val="auto"/>
                <w:w w:val="89"/>
              </w:rPr>
              <w:t>(In millions)</w:t>
            </w:r>
          </w:p>
        </w:tc>
        <w:tc>
          <w:tcPr>
            <w:tcW w:w="1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96"/>
              <w:spacing w:after="0"/>
              <w:rPr>
                <w:sz w:val="20"/>
                <w:szCs w:val="20"/>
                <w:color w:val="auto"/>
              </w:rPr>
            </w:pPr>
            <w:r>
              <w:rPr>
                <w:rFonts w:ascii="Arial" w:cs="Arial" w:eastAsia="Arial" w:hAnsi="Arial"/>
                <w:sz w:val="14"/>
                <w:szCs w:val="14"/>
                <w:b w:val="1"/>
                <w:bCs w:val="1"/>
                <w:color w:val="auto"/>
                <w:w w:val="89"/>
              </w:rPr>
              <w:t>2010</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20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Balance as of the beginning of the fiscal year</w:t>
            </w:r>
          </w:p>
        </w:tc>
        <w:tc>
          <w:tcPr>
            <w:tcW w:w="2220" w:type="dxa"/>
            <w:vAlign w:val="bottom"/>
            <w:gridSpan w:val="2"/>
            <w:shd w:val="clear" w:color="auto" w:fill="CCEEFF"/>
          </w:tcPr>
          <w:p>
            <w:pPr>
              <w:ind w:left="2040"/>
              <w:spacing w:after="0"/>
              <w:rPr>
                <w:sz w:val="20"/>
                <w:szCs w:val="20"/>
                <w:color w:val="auto"/>
              </w:rPr>
            </w:pPr>
            <w:r>
              <w:rPr>
                <w:rFonts w:ascii="Arial" w:cs="Arial" w:eastAsia="Arial" w:hAnsi="Arial"/>
                <w:sz w:val="18"/>
                <w:szCs w:val="18"/>
                <w:b w:val="1"/>
                <w:bCs w:val="1"/>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3.2</w:t>
            </w:r>
          </w:p>
        </w:tc>
        <w:tc>
          <w:tcPr>
            <w:tcW w:w="800" w:type="dxa"/>
            <w:vAlign w:val="bottom"/>
            <w:shd w:val="clear" w:color="auto" w:fill="CCEEFF"/>
          </w:tcPr>
          <w:p>
            <w:pPr>
              <w:spacing w:after="0"/>
              <w:rPr>
                <w:sz w:val="18"/>
                <w:szCs w:val="18"/>
                <w:color w:val="auto"/>
              </w:rPr>
            </w:pPr>
          </w:p>
        </w:tc>
        <w:tc>
          <w:tcPr>
            <w:tcW w:w="240" w:type="dxa"/>
            <w:vAlign w:val="bottom"/>
            <w:gridSpan w:val="2"/>
            <w:shd w:val="clear" w:color="auto" w:fill="CCEEFF"/>
          </w:tcPr>
          <w:p>
            <w:pPr>
              <w:ind w:left="100"/>
              <w:spacing w:after="0"/>
              <w:rPr>
                <w:sz w:val="20"/>
                <w:szCs w:val="20"/>
                <w:color w:val="auto"/>
              </w:rPr>
            </w:pPr>
            <w:r>
              <w:rPr>
                <w:rFonts w:ascii="Arial" w:cs="Arial" w:eastAsia="Arial" w:hAnsi="Arial"/>
                <w:sz w:val="18"/>
                <w:szCs w:val="18"/>
                <w:b w:val="1"/>
                <w:bCs w:val="1"/>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0" w:type="dxa"/>
            <w:vAlign w:val="bottom"/>
          </w:tcPr>
          <w:p>
            <w:pPr>
              <w:spacing w:after="0"/>
              <w:rPr>
                <w:sz w:val="20"/>
                <w:szCs w:val="20"/>
                <w:color w:val="auto"/>
              </w:rPr>
            </w:pPr>
            <w:r>
              <w:rPr>
                <w:rFonts w:ascii="Arial" w:cs="Arial" w:eastAsia="Arial" w:hAnsi="Arial"/>
                <w:sz w:val="18"/>
                <w:szCs w:val="18"/>
                <w:color w:val="auto"/>
                <w:w w:val="90"/>
              </w:rPr>
              <w:t>Warranty provision for revenue recorded during the period</w:t>
            </w:r>
          </w:p>
        </w:tc>
        <w:tc>
          <w:tcPr>
            <w:tcW w:w="2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gridSpan w:val="2"/>
          </w:tcPr>
          <w:p>
            <w:pPr>
              <w:jc w:val="right"/>
              <w:ind w:right="832"/>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b w:val="1"/>
                <w:bCs w:val="1"/>
                <w:color w:val="auto"/>
              </w:rPr>
              <w:t>0.8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Settlements made during the period</w:t>
            </w:r>
          </w:p>
        </w:tc>
        <w:tc>
          <w:tcPr>
            <w:tcW w:w="20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72"/>
              <w:spacing w:after="0"/>
              <w:rPr>
                <w:sz w:val="20"/>
                <w:szCs w:val="20"/>
                <w:color w:val="auto"/>
              </w:rPr>
            </w:pPr>
            <w:r>
              <w:rPr>
                <w:rFonts w:ascii="Arial" w:cs="Arial" w:eastAsia="Arial" w:hAnsi="Arial"/>
                <w:sz w:val="18"/>
                <w:szCs w:val="18"/>
                <w:b w:val="1"/>
                <w:bCs w:val="1"/>
                <w:color w:val="auto"/>
              </w:rPr>
              <w:t>(0.5)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(1.6)</w:t>
            </w:r>
          </w:p>
        </w:tc>
        <w:tc>
          <w:tcPr>
            <w:tcW w:w="0" w:type="dxa"/>
            <w:vAlign w:val="bottom"/>
          </w:tcPr>
          <w:p>
            <w:pPr>
              <w:spacing w:after="0"/>
              <w:rPr>
                <w:sz w:val="1"/>
                <w:szCs w:val="1"/>
                <w:color w:val="auto"/>
              </w:rPr>
            </w:pPr>
          </w:p>
        </w:tc>
      </w:tr>
      <w:tr>
        <w:trPr>
          <w:trHeight w:val="222"/>
        </w:trPr>
        <w:tc>
          <w:tcPr>
            <w:tcW w:w="4200" w:type="dxa"/>
            <w:vAlign w:val="bottom"/>
          </w:tcPr>
          <w:p>
            <w:pPr>
              <w:spacing w:after="0"/>
              <w:rPr>
                <w:sz w:val="20"/>
                <w:szCs w:val="20"/>
                <w:color w:val="auto"/>
              </w:rPr>
            </w:pPr>
            <w:r>
              <w:rPr>
                <w:rFonts w:ascii="Arial" w:cs="Arial" w:eastAsia="Arial" w:hAnsi="Arial"/>
                <w:sz w:val="18"/>
                <w:szCs w:val="18"/>
                <w:color w:val="auto"/>
              </w:rPr>
              <w:t>Balance as of the end of the period</w:t>
            </w:r>
          </w:p>
        </w:tc>
        <w:tc>
          <w:tcPr>
            <w:tcW w:w="204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2.7</w:t>
            </w: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200" w:type="dxa"/>
            <w:vAlign w:val="bottom"/>
          </w:tcPr>
          <w:p>
            <w:pPr>
              <w:spacing w:after="0" w:line="20" w:lineRule="exact"/>
              <w:rPr>
                <w:sz w:val="1"/>
                <w:szCs w:val="1"/>
                <w:color w:val="auto"/>
              </w:rPr>
            </w:pPr>
          </w:p>
        </w:tc>
        <w:tc>
          <w:tcPr>
            <w:tcW w:w="2040" w:type="dxa"/>
            <w:vAlign w:val="bottom"/>
            <w:vMerge w:val="restart"/>
          </w:tcPr>
          <w:p>
            <w:pPr>
              <w:jc w:val="right"/>
              <w:ind w:right="1772"/>
              <w:spacing w:after="0"/>
              <w:rPr>
                <w:sz w:val="20"/>
                <w:szCs w:val="20"/>
                <w:color w:val="auto"/>
              </w:rPr>
            </w:pPr>
            <w:r>
              <w:rPr>
                <w:rFonts w:ascii="Arial" w:cs="Arial" w:eastAsia="Arial" w:hAnsi="Arial"/>
                <w:sz w:val="18"/>
                <w:szCs w:val="18"/>
                <w:color w:val="auto"/>
              </w:rPr>
              <w:t>8</w:t>
            </w: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4200" w:type="dxa"/>
            <w:vAlign w:val="bottom"/>
          </w:tcPr>
          <w:p>
            <w:pPr>
              <w:spacing w:after="0"/>
              <w:rPr>
                <w:sz w:val="24"/>
                <w:szCs w:val="24"/>
                <w:color w:val="auto"/>
              </w:rPr>
            </w:pPr>
          </w:p>
        </w:tc>
        <w:tc>
          <w:tcPr>
            <w:tcW w:w="204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80"/>
          </w:cols>
          <w:pgMar w:left="240" w:top="459" w:right="27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Credit Facility and Debt</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outstanding debt consisted of short-term debt of $6.0 million as of December 31, 2010 and $5.0 million as of July 2, 2010.</w:t>
      </w:r>
    </w:p>
    <w:p>
      <w:pPr>
        <w:spacing w:after="0" w:line="171" w:lineRule="exact"/>
        <w:rPr>
          <w:sz w:val="20"/>
          <w:szCs w:val="20"/>
          <w:color w:val="auto"/>
        </w:rPr>
      </w:pPr>
    </w:p>
    <w:p>
      <w:pPr>
        <w:jc w:val="both"/>
        <w:ind w:right="340" w:firstLine="456"/>
        <w:spacing w:after="0" w:line="306" w:lineRule="auto"/>
        <w:rPr>
          <w:sz w:val="20"/>
          <w:szCs w:val="20"/>
          <w:color w:val="auto"/>
        </w:rPr>
      </w:pPr>
      <w:r>
        <w:rPr>
          <w:rFonts w:ascii="Arial" w:cs="Arial" w:eastAsia="Arial" w:hAnsi="Arial"/>
          <w:sz w:val="16"/>
          <w:szCs w:val="16"/>
          <w:color w:val="auto"/>
        </w:rPr>
        <w:t>During the quarter ended October 1, 2010, we terminated our previous credit facility with two commercial banks and entered into a new $40.0 million credit facility with Silicon Valley Bank for a term of one year expiring on September 30, 2011. The outstanding debt of $5.0 million under the previous credit facility was repaid on October 1, 2010 with the proceeds of a new loan under the new facility in the amount of $6.0 million.</w:t>
      </w:r>
    </w:p>
    <w:p>
      <w:pPr>
        <w:spacing w:after="0" w:line="107"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Our new credit facility provides for a committed amount of $40.0 million. The facility provides for (1) demand borrowings (with no stated maturity date), (2) fixed term Eurodollar loans for up to six months and (3) the issuance of standby or commercial letters of credit.</w:t>
      </w:r>
    </w:p>
    <w:p>
      <w:pPr>
        <w:spacing w:after="0" w:line="132"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 xml:space="preserve">Demand borrowings carry an interest rate computed at the daily prime rate as published in the </w:t>
      </w:r>
      <w:r>
        <w:rPr>
          <w:rFonts w:ascii="Arial" w:cs="Arial" w:eastAsia="Arial" w:hAnsi="Arial"/>
          <w:sz w:val="16"/>
          <w:szCs w:val="16"/>
          <w:i w:val="1"/>
          <w:iCs w:val="1"/>
          <w:color w:val="auto"/>
        </w:rPr>
        <w:t>Wall Street Journal</w:t>
      </w:r>
      <w:r>
        <w:rPr>
          <w:rFonts w:ascii="Arial" w:cs="Arial" w:eastAsia="Arial" w:hAnsi="Arial"/>
          <w:sz w:val="16"/>
          <w:szCs w:val="16"/>
          <w:color w:val="auto"/>
        </w:rPr>
        <w:t>. Interest on our Eurodollar loans is computed at LIBOR plus a spread of between 2.00% to 2.75% based on our current leverage ratio. The interest rate on Eurodollar loans was set initially at a spread of 2.75% for the fiscal quarter ending October 1, 2010 and is adjustable quarterly thereafter based on the computed actual leverage ratio for the most recently completed fiscal quarter. The facility contains a minimum liquidity ratio covenant and a minimum profitability covenant and is secured by the company’s assts. As of December 31, 2010, we were in compliance with the financial covenants.</w:t>
      </w:r>
    </w:p>
    <w:p>
      <w:pPr>
        <w:spacing w:after="0" w:line="116"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Available credit as of December 31, 2010 was $24.4 million reflecting borrowings of $6.0 million and outstanding letters of credit of $9.6 million. The weighted average interest rate on our short-term borrowings was 3.25% as of December 31, 2010.</w:t>
      </w:r>
    </w:p>
    <w:p>
      <w:pPr>
        <w:spacing w:after="0" w:line="132"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Standby letters of credit includes a standby letter of credit issued in the amount of $2.3 million covering $2.1 million in standby letters of credit outstanding under the previous credit facility at the time of termination of that facility on October 1, 2010. The amount of this supporting letter of credit may be amended at any time to exclude the letters of credit issued under the previous facility as they expire. The amount of outstanding letters of credit under the previous facility was $1.4 million as of December 31, 2010.</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Restructuring Activities</w:t>
      </w:r>
    </w:p>
    <w:p>
      <w:pPr>
        <w:spacing w:after="0" w:line="96" w:lineRule="exact"/>
        <w:rPr>
          <w:sz w:val="20"/>
          <w:szCs w:val="20"/>
          <w:color w:val="auto"/>
        </w:rPr>
      </w:pPr>
    </w:p>
    <w:p>
      <w:pPr>
        <w:ind w:right="340" w:firstLine="456"/>
        <w:spacing w:after="0" w:line="298" w:lineRule="auto"/>
        <w:rPr>
          <w:sz w:val="20"/>
          <w:szCs w:val="20"/>
          <w:color w:val="auto"/>
        </w:rPr>
      </w:pPr>
      <w:r>
        <w:rPr>
          <w:rFonts w:ascii="Arial" w:cs="Arial" w:eastAsia="Arial" w:hAnsi="Arial"/>
          <w:sz w:val="16"/>
          <w:szCs w:val="16"/>
          <w:color w:val="auto"/>
        </w:rPr>
        <w:t>During the second quarter of fiscal 2011, we continued executing the restructuring plan that initiated in the first quarter of fiscal 2011 to reduce our operational costs (the “Fiscal 2011 Plan”). The Fiscal 2011 Plan was intended to bring our cost structure in line with the changing dynamics of the worldwide microwave radio and telecommunication markets, primarily in North America, Europe and Asia. During the second and first two quarters of fiscal 2011, our restructuring charges related to the Fiscal 2011 Plan totaled $2.6 million and $7.3 million, respectively, and consisted of the following items:</w:t>
      </w:r>
    </w:p>
    <w:p>
      <w:pPr>
        <w:spacing w:after="0" w:line="32" w:lineRule="exact"/>
        <w:rPr>
          <w:sz w:val="20"/>
          <w:szCs w:val="20"/>
          <w:color w:val="auto"/>
        </w:rPr>
      </w:pPr>
    </w:p>
    <w:p>
      <w:pPr>
        <w:ind w:left="460" w:right="520" w:hanging="452"/>
        <w:spacing w:after="0" w:line="268" w:lineRule="auto"/>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Severance, retention and related charges totaling $1.1 million and $3.6 million, respectively, for the second and first two quarters of fiscal 2011 from reductions in force for the closing of the Morrisville, North Carolina office.</w:t>
      </w:r>
    </w:p>
    <w:p>
      <w:pPr>
        <w:spacing w:after="0" w:line="50" w:lineRule="exact"/>
        <w:rPr>
          <w:rFonts w:ascii="Arial" w:cs="Arial" w:eastAsia="Arial" w:hAnsi="Arial"/>
          <w:sz w:val="18"/>
          <w:szCs w:val="18"/>
          <w:color w:val="auto"/>
        </w:rPr>
      </w:pPr>
    </w:p>
    <w:p>
      <w:pPr>
        <w:ind w:left="460" w:right="200" w:hanging="452"/>
        <w:spacing w:after="0" w:line="268" w:lineRule="auto"/>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Severance and related charges totaling $1.1 million for the second quarter and first two quarters of fiscal 2011 from reductions in force in Canada of their finance, human resources, IT and engineering functions.</w:t>
      </w:r>
    </w:p>
    <w:p>
      <w:pPr>
        <w:spacing w:after="0" w:line="50" w:lineRule="exact"/>
        <w:rPr>
          <w:rFonts w:ascii="Arial" w:cs="Arial" w:eastAsia="Arial" w:hAnsi="Arial"/>
          <w:sz w:val="18"/>
          <w:szCs w:val="18"/>
          <w:color w:val="auto"/>
        </w:rPr>
      </w:pPr>
    </w:p>
    <w:p>
      <w:pPr>
        <w:ind w:left="460" w:right="140" w:hanging="452"/>
        <w:spacing w:after="0" w:line="268" w:lineRule="auto"/>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Severance and related charges of zero and $1.4 million for the second and first two quarters of fiscal 2011 from reduction in force activities resulting from the sale of our NetBoss assets.</w:t>
      </w:r>
    </w:p>
    <w:p>
      <w:pPr>
        <w:spacing w:after="0" w:line="50" w:lineRule="exact"/>
        <w:rPr>
          <w:rFonts w:ascii="Arial" w:cs="Arial" w:eastAsia="Arial" w:hAnsi="Arial"/>
          <w:sz w:val="18"/>
          <w:szCs w:val="18"/>
          <w:color w:val="auto"/>
        </w:rPr>
      </w:pPr>
    </w:p>
    <w:p>
      <w:pPr>
        <w:ind w:left="460" w:right="420" w:hanging="452"/>
        <w:spacing w:after="0" w:line="268" w:lineRule="auto"/>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Severance and related charges totaling $0.4 million and $1.2 million, respectively, for the second quarter and first two quarters of fiscal 2011 from our various other reductions in force including a reduction in global sales personnel.</w:t>
      </w:r>
    </w:p>
    <w:p>
      <w:pPr>
        <w:spacing w:after="0" w:line="132"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In addition, during the first two quarters of fiscal 2011, we continued restructuring activities that commenced during fiscal 2009 to reduce our workforce in the U.S., France, Canada and other locations throughout the world (the “Fiscal 2009 Plan”). These activities primarily consisted of outsourcing our San Antonio manufacturing operations to a third party in Austin, Texas. During the second quarter and first two quarters of fiscal 2011, our restructuring charges related to the Fiscal 2009 Plan totaled $0.8 million and $1.7 million, respectively, and consisted of the following items:</w:t>
      </w:r>
    </w:p>
    <w:p>
      <w:pPr>
        <w:spacing w:after="0" w:line="32" w:lineRule="exact"/>
        <w:rPr>
          <w:sz w:val="20"/>
          <w:szCs w:val="20"/>
          <w:color w:val="auto"/>
        </w:rPr>
      </w:pPr>
    </w:p>
    <w:p>
      <w:pPr>
        <w:ind w:left="460" w:right="660" w:hanging="452"/>
        <w:spacing w:after="0" w:line="268" w:lineRule="auto"/>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Severance, retention and related charges totaling $0.7 million and $1.6 million, respectively, for the second and first two quarters of fiscal 2011 for reductions in force.</w:t>
      </w:r>
    </w:p>
    <w:p>
      <w:pPr>
        <w:spacing w:after="0" w:line="50" w:lineRule="exact"/>
        <w:rPr>
          <w:rFonts w:ascii="Arial" w:cs="Arial" w:eastAsia="Arial" w:hAnsi="Arial"/>
          <w:sz w:val="18"/>
          <w:szCs w:val="18"/>
          <w:color w:val="auto"/>
        </w:rPr>
      </w:pPr>
    </w:p>
    <w:p>
      <w:pPr>
        <w:ind w:left="460" w:hanging="452"/>
        <w:spacing w:after="0"/>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Charges totaling $0.1 million for the second and first two quarters of fiscal 2011 for facility lease obligation adjustments.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45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The information in the following table summarizes our restructuring activities during the first two quarters of fiscal 2011 and the remaining restructuring liability as of December 31, 2010:</w:t>
      </w:r>
    </w:p>
    <w:p>
      <w:pPr>
        <w:spacing w:after="0" w:line="156"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54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820" w:type="dxa"/>
            <w:vAlign w:val="bottom"/>
            <w:gridSpan w:val="3"/>
          </w:tcPr>
          <w:p>
            <w:pPr>
              <w:ind w:left="20"/>
              <w:spacing w:after="0"/>
              <w:rPr>
                <w:sz w:val="20"/>
                <w:szCs w:val="20"/>
                <w:color w:val="auto"/>
              </w:rPr>
            </w:pPr>
            <w:r>
              <w:rPr>
                <w:rFonts w:ascii="Arial" w:cs="Arial" w:eastAsia="Arial" w:hAnsi="Arial"/>
                <w:sz w:val="14"/>
                <w:szCs w:val="14"/>
                <w:b w:val="1"/>
                <w:bCs w:val="1"/>
                <w:color w:val="auto"/>
              </w:rPr>
              <w:t>Severance</w:t>
            </w:r>
          </w:p>
        </w:tc>
        <w:tc>
          <w:tcPr>
            <w:tcW w:w="380" w:type="dxa"/>
            <w:vAlign w:val="bottom"/>
          </w:tcPr>
          <w:p>
            <w:pPr>
              <w:spacing w:after="0"/>
              <w:rPr>
                <w:sz w:val="14"/>
                <w:szCs w:val="14"/>
                <w:color w:val="auto"/>
              </w:rPr>
            </w:pPr>
          </w:p>
        </w:tc>
        <w:tc>
          <w:tcPr>
            <w:tcW w:w="840" w:type="dxa"/>
            <w:vAlign w:val="bottom"/>
            <w:gridSpan w:val="3"/>
          </w:tcPr>
          <w:p>
            <w:pPr>
              <w:spacing w:after="0"/>
              <w:rPr>
                <w:sz w:val="20"/>
                <w:szCs w:val="20"/>
                <w:color w:val="auto"/>
              </w:rPr>
            </w:pPr>
            <w:r>
              <w:rPr>
                <w:rFonts w:ascii="Arial" w:cs="Arial" w:eastAsia="Arial" w:hAnsi="Arial"/>
                <w:sz w:val="14"/>
                <w:szCs w:val="14"/>
                <w:b w:val="1"/>
                <w:bCs w:val="1"/>
                <w:color w:val="auto"/>
              </w:rPr>
              <w:t>Facilities</w:t>
            </w:r>
          </w:p>
        </w:tc>
        <w:tc>
          <w:tcPr>
            <w:tcW w:w="2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40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gridSpan w:val="2"/>
          </w:tcPr>
          <w:p>
            <w:pPr>
              <w:jc w:val="right"/>
              <w:ind w:right="400"/>
              <w:spacing w:after="0" w:line="149" w:lineRule="exact"/>
              <w:rPr>
                <w:sz w:val="20"/>
                <w:szCs w:val="20"/>
                <w:color w:val="auto"/>
              </w:rPr>
            </w:pPr>
            <w:r>
              <w:rPr>
                <w:rFonts w:ascii="Arial" w:cs="Arial" w:eastAsia="Arial" w:hAnsi="Arial"/>
                <w:sz w:val="14"/>
                <w:szCs w:val="14"/>
                <w:b w:val="1"/>
                <w:bCs w:val="1"/>
                <w:color w:val="auto"/>
              </w:rPr>
              <w:t>and</w:t>
            </w: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jc w:val="right"/>
              <w:ind w:right="480"/>
              <w:spacing w:after="0" w:line="149" w:lineRule="exact"/>
              <w:rPr>
                <w:sz w:val="20"/>
                <w:szCs w:val="20"/>
                <w:color w:val="auto"/>
              </w:rPr>
            </w:pPr>
            <w:r>
              <w:rPr>
                <w:rFonts w:ascii="Arial" w:cs="Arial" w:eastAsia="Arial" w:hAnsi="Arial"/>
                <w:sz w:val="14"/>
                <w:szCs w:val="14"/>
                <w:b w:val="1"/>
                <w:bCs w:val="1"/>
                <w:color w:val="auto"/>
              </w:rPr>
              <w:t>and</w:t>
            </w:r>
          </w:p>
        </w:tc>
        <w:tc>
          <w:tcPr>
            <w:tcW w:w="2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54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820" w:type="dxa"/>
            <w:vAlign w:val="bottom"/>
            <w:gridSpan w:val="3"/>
          </w:tcPr>
          <w:p>
            <w:pPr>
              <w:ind w:left="80"/>
              <w:spacing w:after="0"/>
              <w:rPr>
                <w:sz w:val="20"/>
                <w:szCs w:val="20"/>
                <w:color w:val="auto"/>
              </w:rPr>
            </w:pPr>
            <w:r>
              <w:rPr>
                <w:rFonts w:ascii="Arial" w:cs="Arial" w:eastAsia="Arial" w:hAnsi="Arial"/>
                <w:sz w:val="14"/>
                <w:szCs w:val="14"/>
                <w:b w:val="1"/>
                <w:bCs w:val="1"/>
                <w:color w:val="auto"/>
              </w:rPr>
              <w:t>Benefits</w:t>
            </w:r>
          </w:p>
        </w:tc>
        <w:tc>
          <w:tcPr>
            <w:tcW w:w="380" w:type="dxa"/>
            <w:vAlign w:val="bottom"/>
            <w:vMerge w:val="restart"/>
          </w:tcPr>
          <w:p>
            <w:pPr>
              <w:ind w:left="180"/>
              <w:spacing w:after="0"/>
              <w:rPr>
                <w:sz w:val="20"/>
                <w:szCs w:val="20"/>
                <w:color w:val="auto"/>
              </w:rPr>
            </w:pPr>
            <w:r>
              <w:rPr>
                <w:rFonts w:ascii="Arial" w:cs="Arial" w:eastAsia="Arial" w:hAnsi="Arial"/>
                <w:sz w:val="14"/>
                <w:szCs w:val="14"/>
                <w:b w:val="1"/>
                <w:bCs w:val="1"/>
                <w:color w:val="auto"/>
              </w:rPr>
              <w:t>(In</w:t>
            </w:r>
          </w:p>
        </w:tc>
        <w:tc>
          <w:tcPr>
            <w:tcW w:w="80" w:type="dxa"/>
            <w:vAlign w:val="bottom"/>
          </w:tcPr>
          <w:p>
            <w:pPr>
              <w:spacing w:after="0"/>
              <w:rPr>
                <w:sz w:val="14"/>
                <w:szCs w:val="14"/>
                <w:color w:val="auto"/>
              </w:rPr>
            </w:pPr>
          </w:p>
        </w:tc>
        <w:tc>
          <w:tcPr>
            <w:tcW w:w="76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w w:val="90"/>
              </w:rPr>
              <w:t>Other</w:t>
            </w:r>
          </w:p>
        </w:tc>
        <w:tc>
          <w:tcPr>
            <w:tcW w:w="280" w:type="dxa"/>
            <w:vAlign w:val="bottom"/>
          </w:tcPr>
          <w:p>
            <w:pPr>
              <w:spacing w:after="0"/>
              <w:rPr>
                <w:sz w:val="14"/>
                <w:szCs w:val="14"/>
                <w:color w:val="auto"/>
              </w:rPr>
            </w:pPr>
          </w:p>
        </w:tc>
        <w:tc>
          <w:tcPr>
            <w:tcW w:w="48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2"/>
        </w:trPr>
        <w:tc>
          <w:tcPr>
            <w:tcW w:w="540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380" w:type="dxa"/>
            <w:vAlign w:val="bottom"/>
            <w:vMerge w:val="continue"/>
          </w:tcPr>
          <w:p>
            <w:pPr>
              <w:spacing w:after="0"/>
              <w:rPr>
                <w:sz w:val="12"/>
                <w:szCs w:val="12"/>
                <w:color w:val="auto"/>
              </w:rPr>
            </w:pPr>
          </w:p>
        </w:tc>
        <w:tc>
          <w:tcPr>
            <w:tcW w:w="52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86"/>
              </w:rPr>
              <w:t>millions)</w:t>
            </w:r>
          </w:p>
        </w:tc>
        <w:tc>
          <w:tcPr>
            <w:tcW w:w="3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Restructuring liability as of July 2, 2010</w:t>
            </w:r>
          </w:p>
        </w:tc>
        <w:tc>
          <w:tcPr>
            <w:tcW w:w="1520" w:type="dxa"/>
            <w:vAlign w:val="bottom"/>
            <w:gridSpan w:val="2"/>
            <w:shd w:val="clear" w:color="auto" w:fill="CCEEFF"/>
          </w:tcPr>
          <w:p>
            <w:pPr>
              <w:ind w:left="1380"/>
              <w:spacing w:after="0"/>
              <w:rPr>
                <w:sz w:val="20"/>
                <w:szCs w:val="20"/>
                <w:color w:val="auto"/>
              </w:rPr>
            </w:pPr>
            <w:r>
              <w:rPr>
                <w:rFonts w:ascii="Arial" w:cs="Arial" w:eastAsia="Arial" w:hAnsi="Arial"/>
                <w:sz w:val="18"/>
                <w:szCs w:val="18"/>
                <w:b w:val="1"/>
                <w:bCs w:val="1"/>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2.2</w:t>
            </w:r>
          </w:p>
        </w:tc>
        <w:tc>
          <w:tcPr>
            <w:tcW w:w="220" w:type="dxa"/>
            <w:vAlign w:val="bottom"/>
            <w:shd w:val="clear" w:color="auto" w:fill="CCEEFF"/>
          </w:tcPr>
          <w:p>
            <w:pPr>
              <w:spacing w:after="0"/>
              <w:rPr>
                <w:sz w:val="18"/>
                <w:szCs w:val="18"/>
                <w:color w:val="auto"/>
              </w:rPr>
            </w:pPr>
          </w:p>
        </w:tc>
        <w:tc>
          <w:tcPr>
            <w:tcW w:w="460" w:type="dxa"/>
            <w:vAlign w:val="bottom"/>
            <w:gridSpan w:val="2"/>
            <w:shd w:val="clear" w:color="auto" w:fill="CCEEFF"/>
          </w:tcPr>
          <w:p>
            <w:pPr>
              <w:ind w:left="380"/>
              <w:spacing w:after="0"/>
              <w:rPr>
                <w:sz w:val="20"/>
                <w:szCs w:val="20"/>
                <w:color w:val="auto"/>
              </w:rPr>
            </w:pPr>
            <w:r>
              <w:rPr>
                <w:rFonts w:ascii="Arial" w:cs="Arial" w:eastAsia="Arial" w:hAnsi="Arial"/>
                <w:sz w:val="15"/>
                <w:szCs w:val="15"/>
                <w:b w:val="1"/>
                <w:bCs w:val="1"/>
                <w:color w:val="auto"/>
                <w:w w:val="71"/>
              </w:rPr>
              <w:t>$</w:t>
            </w:r>
          </w:p>
        </w:tc>
        <w:tc>
          <w:tcPr>
            <w:tcW w:w="7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4.2</w:t>
            </w:r>
          </w:p>
        </w:tc>
        <w:tc>
          <w:tcPr>
            <w:tcW w:w="7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$ 6.4</w:t>
            </w:r>
          </w:p>
        </w:tc>
        <w:tc>
          <w:tcPr>
            <w:tcW w:w="0" w:type="dxa"/>
            <w:vAlign w:val="bottom"/>
          </w:tcPr>
          <w:p>
            <w:pPr>
              <w:spacing w:after="0"/>
              <w:rPr>
                <w:sz w:val="1"/>
                <w:szCs w:val="1"/>
                <w:color w:val="auto"/>
              </w:rPr>
            </w:pPr>
          </w:p>
        </w:tc>
      </w:tr>
      <w:tr>
        <w:trPr>
          <w:trHeight w:val="216"/>
        </w:trPr>
        <w:tc>
          <w:tcPr>
            <w:tcW w:w="5400" w:type="dxa"/>
            <w:vAlign w:val="bottom"/>
          </w:tcPr>
          <w:p>
            <w:pPr>
              <w:spacing w:after="0"/>
              <w:rPr>
                <w:sz w:val="20"/>
                <w:szCs w:val="20"/>
                <w:color w:val="auto"/>
              </w:rPr>
            </w:pPr>
            <w:r>
              <w:rPr>
                <w:rFonts w:ascii="Arial" w:cs="Arial" w:eastAsia="Arial" w:hAnsi="Arial"/>
                <w:sz w:val="18"/>
                <w:szCs w:val="18"/>
                <w:color w:val="auto"/>
              </w:rPr>
              <w:t>Provision related to Fiscal 2011 Plan</w:t>
            </w:r>
          </w:p>
        </w:tc>
        <w:tc>
          <w:tcPr>
            <w:tcW w:w="1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b w:val="1"/>
                <w:bCs w:val="1"/>
                <w:color w:val="auto"/>
              </w:rPr>
              <w:t>7.3</w:t>
            </w: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w:t>
            </w:r>
          </w:p>
        </w:tc>
        <w:tc>
          <w:tcPr>
            <w:tcW w:w="760" w:type="dxa"/>
            <w:vAlign w:val="bottom"/>
            <w:gridSpan w:val="3"/>
          </w:tcPr>
          <w:p>
            <w:pPr>
              <w:jc w:val="right"/>
              <w:ind w:right="100"/>
              <w:spacing w:after="0"/>
              <w:rPr>
                <w:sz w:val="20"/>
                <w:szCs w:val="20"/>
                <w:color w:val="auto"/>
              </w:rPr>
            </w:pPr>
            <w:r>
              <w:rPr>
                <w:rFonts w:ascii="Arial" w:cs="Arial" w:eastAsia="Arial" w:hAnsi="Arial"/>
                <w:sz w:val="18"/>
                <w:szCs w:val="18"/>
                <w:b w:val="1"/>
                <w:bCs w:val="1"/>
                <w:color w:val="auto"/>
              </w:rPr>
              <w:t>7.3</w:t>
            </w:r>
          </w:p>
        </w:tc>
        <w:tc>
          <w:tcPr>
            <w:tcW w:w="0" w:type="dxa"/>
            <w:vAlign w:val="bottom"/>
          </w:tcPr>
          <w:p>
            <w:pPr>
              <w:spacing w:after="0"/>
              <w:rPr>
                <w:sz w:val="1"/>
                <w:szCs w:val="1"/>
                <w:color w:val="auto"/>
              </w:rPr>
            </w:pPr>
          </w:p>
        </w:tc>
      </w:tr>
      <w:tr>
        <w:trPr>
          <w:trHeight w:val="216"/>
        </w:trPr>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Provision related to Fiscal 2009 Plan</w:t>
            </w:r>
          </w:p>
        </w:tc>
        <w:tc>
          <w:tcPr>
            <w:tcW w:w="1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1.6</w:t>
            </w: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0.1</w:t>
            </w:r>
          </w:p>
        </w:tc>
        <w:tc>
          <w:tcPr>
            <w:tcW w:w="7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1.7</w:t>
            </w:r>
          </w:p>
        </w:tc>
        <w:tc>
          <w:tcPr>
            <w:tcW w:w="0" w:type="dxa"/>
            <w:vAlign w:val="bottom"/>
          </w:tcPr>
          <w:p>
            <w:pPr>
              <w:spacing w:after="0"/>
              <w:rPr>
                <w:sz w:val="1"/>
                <w:szCs w:val="1"/>
                <w:color w:val="auto"/>
              </w:rPr>
            </w:pPr>
          </w:p>
        </w:tc>
      </w:tr>
      <w:tr>
        <w:trPr>
          <w:trHeight w:val="216"/>
        </w:trPr>
        <w:tc>
          <w:tcPr>
            <w:tcW w:w="5400" w:type="dxa"/>
            <w:vAlign w:val="bottom"/>
          </w:tcPr>
          <w:p>
            <w:pPr>
              <w:spacing w:after="0"/>
              <w:rPr>
                <w:sz w:val="20"/>
                <w:szCs w:val="20"/>
                <w:color w:val="auto"/>
              </w:rPr>
            </w:pPr>
            <w:r>
              <w:rPr>
                <w:rFonts w:ascii="Arial" w:cs="Arial" w:eastAsia="Arial" w:hAnsi="Arial"/>
                <w:sz w:val="18"/>
                <w:szCs w:val="18"/>
                <w:color w:val="auto"/>
              </w:rPr>
              <w:t>Cash payments</w:t>
            </w:r>
          </w:p>
        </w:tc>
        <w:tc>
          <w:tcPr>
            <w:tcW w:w="1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(5.4)</w:t>
            </w: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(3.3)</w:t>
            </w:r>
          </w:p>
        </w:tc>
        <w:tc>
          <w:tcPr>
            <w:tcW w:w="760" w:type="dxa"/>
            <w:vAlign w:val="bottom"/>
            <w:gridSpan w:val="3"/>
          </w:tcPr>
          <w:p>
            <w:pPr>
              <w:jc w:val="right"/>
              <w:ind w:right="40"/>
              <w:spacing w:after="0"/>
              <w:rPr>
                <w:sz w:val="20"/>
                <w:szCs w:val="20"/>
                <w:color w:val="auto"/>
              </w:rPr>
            </w:pPr>
            <w:r>
              <w:rPr>
                <w:rFonts w:ascii="Arial" w:cs="Arial" w:eastAsia="Arial" w:hAnsi="Arial"/>
                <w:sz w:val="18"/>
                <w:szCs w:val="18"/>
                <w:b w:val="1"/>
                <w:bCs w:val="1"/>
                <w:color w:val="auto"/>
              </w:rPr>
              <w:t>(8.7)</w:t>
            </w:r>
          </w:p>
        </w:tc>
        <w:tc>
          <w:tcPr>
            <w:tcW w:w="0" w:type="dxa"/>
            <w:vAlign w:val="bottom"/>
          </w:tcPr>
          <w:p>
            <w:pPr>
              <w:spacing w:after="0"/>
              <w:rPr>
                <w:sz w:val="1"/>
                <w:szCs w:val="1"/>
                <w:color w:val="auto"/>
              </w:rPr>
            </w:pPr>
          </w:p>
        </w:tc>
      </w:tr>
      <w:tr>
        <w:trPr>
          <w:trHeight w:val="27"/>
        </w:trPr>
        <w:tc>
          <w:tcPr>
            <w:tcW w:w="54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Restructuring liability (current) as of December 31, 2010</w:t>
            </w:r>
          </w:p>
        </w:tc>
        <w:tc>
          <w:tcPr>
            <w:tcW w:w="1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5.7</w:t>
            </w:r>
          </w:p>
        </w:tc>
        <w:tc>
          <w:tcPr>
            <w:tcW w:w="220" w:type="dxa"/>
            <w:vAlign w:val="bottom"/>
            <w:shd w:val="clear" w:color="auto" w:fill="CCEEFF"/>
          </w:tcPr>
          <w:p>
            <w:pPr>
              <w:spacing w:after="0"/>
              <w:rPr>
                <w:sz w:val="18"/>
                <w:szCs w:val="18"/>
                <w:color w:val="auto"/>
              </w:rPr>
            </w:pPr>
          </w:p>
        </w:tc>
        <w:tc>
          <w:tcPr>
            <w:tcW w:w="460" w:type="dxa"/>
            <w:vAlign w:val="bottom"/>
            <w:gridSpan w:val="2"/>
            <w:shd w:val="clear" w:color="auto" w:fill="CCEEFF"/>
          </w:tcPr>
          <w:p>
            <w:pPr>
              <w:ind w:left="380"/>
              <w:spacing w:after="0"/>
              <w:rPr>
                <w:sz w:val="20"/>
                <w:szCs w:val="20"/>
                <w:color w:val="auto"/>
              </w:rPr>
            </w:pPr>
            <w:r>
              <w:rPr>
                <w:rFonts w:ascii="Arial" w:cs="Arial" w:eastAsia="Arial" w:hAnsi="Arial"/>
                <w:sz w:val="15"/>
                <w:szCs w:val="15"/>
                <w:b w:val="1"/>
                <w:bCs w:val="1"/>
                <w:color w:val="auto"/>
                <w:w w:val="71"/>
              </w:rPr>
              <w:t>$</w:t>
            </w:r>
          </w:p>
        </w:tc>
        <w:tc>
          <w:tcPr>
            <w:tcW w:w="7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1.0</w:t>
            </w:r>
          </w:p>
        </w:tc>
        <w:tc>
          <w:tcPr>
            <w:tcW w:w="7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$ 6.7</w:t>
            </w:r>
          </w:p>
        </w:tc>
        <w:tc>
          <w:tcPr>
            <w:tcW w:w="0" w:type="dxa"/>
            <w:vAlign w:val="bottom"/>
          </w:tcPr>
          <w:p>
            <w:pPr>
              <w:spacing w:after="0"/>
              <w:rPr>
                <w:sz w:val="1"/>
                <w:szCs w:val="1"/>
                <w:color w:val="auto"/>
              </w:rPr>
            </w:pPr>
          </w:p>
        </w:tc>
      </w:tr>
      <w:tr>
        <w:trPr>
          <w:trHeight w:val="20"/>
        </w:trPr>
        <w:tc>
          <w:tcPr>
            <w:tcW w:w="54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following table summarizes our costs incurred through December 31, 2010, estimated additional costs to be incurred and estimated total costs expected to be incurred under the Fiscal 2011 Plan:</w:t>
      </w:r>
    </w:p>
    <w:p>
      <w:pPr>
        <w:spacing w:after="0" w:line="156"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100" w:type="dxa"/>
            <w:vAlign w:val="bottom"/>
            <w:gridSpan w:val="4"/>
          </w:tcPr>
          <w:p>
            <w:pPr>
              <w:jc w:val="right"/>
              <w:ind w:right="20"/>
              <w:spacing w:after="0"/>
              <w:rPr>
                <w:sz w:val="20"/>
                <w:szCs w:val="20"/>
                <w:color w:val="auto"/>
              </w:rPr>
            </w:pPr>
            <w:r>
              <w:rPr>
                <w:rFonts w:ascii="Arial" w:cs="Arial" w:eastAsia="Arial" w:hAnsi="Arial"/>
                <w:sz w:val="14"/>
                <w:szCs w:val="14"/>
                <w:b w:val="1"/>
                <w:bCs w:val="1"/>
                <w:color w:val="auto"/>
              </w:rPr>
              <w:t>Cumulative</w:t>
            </w: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83"/>
              </w:rPr>
              <w:t>Total Costs</w:t>
            </w: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77"/>
              </w:rPr>
              <w:t>Costs</w:t>
            </w: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740" w:type="dxa"/>
            <w:vAlign w:val="bottom"/>
          </w:tcPr>
          <w:p>
            <w:pPr>
              <w:spacing w:after="0"/>
              <w:rPr>
                <w:sz w:val="12"/>
                <w:szCs w:val="12"/>
                <w:color w:val="auto"/>
              </w:rPr>
            </w:pPr>
          </w:p>
        </w:tc>
        <w:tc>
          <w:tcPr>
            <w:tcW w:w="138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Incurred During</w:t>
            </w:r>
          </w:p>
        </w:tc>
        <w:tc>
          <w:tcPr>
            <w:tcW w:w="420" w:type="dxa"/>
            <w:vAlign w:val="bottom"/>
          </w:tcPr>
          <w:p>
            <w:pPr>
              <w:spacing w:after="0"/>
              <w:rPr>
                <w:sz w:val="12"/>
                <w:szCs w:val="12"/>
                <w:color w:val="auto"/>
              </w:rPr>
            </w:pPr>
          </w:p>
        </w:tc>
        <w:tc>
          <w:tcPr>
            <w:tcW w:w="680" w:type="dxa"/>
            <w:vAlign w:val="bottom"/>
            <w:gridSpan w:val="3"/>
          </w:tcPr>
          <w:p>
            <w:pPr>
              <w:jc w:val="center"/>
              <w:ind w:right="20"/>
              <w:spacing w:after="0" w:line="149" w:lineRule="exact"/>
              <w:rPr>
                <w:sz w:val="20"/>
                <w:szCs w:val="20"/>
                <w:color w:val="auto"/>
              </w:rPr>
            </w:pPr>
            <w:r>
              <w:rPr>
                <w:rFonts w:ascii="Arial" w:cs="Arial" w:eastAsia="Arial" w:hAnsi="Arial"/>
                <w:sz w:val="14"/>
                <w:szCs w:val="14"/>
                <w:b w:val="1"/>
                <w:bCs w:val="1"/>
                <w:color w:val="auto"/>
                <w:w w:val="89"/>
              </w:rPr>
              <w:t>Incurred</w:t>
            </w:r>
          </w:p>
        </w:tc>
        <w:tc>
          <w:tcPr>
            <w:tcW w:w="800" w:type="dxa"/>
            <w:vAlign w:val="bottom"/>
          </w:tcPr>
          <w:p>
            <w:pPr>
              <w:spacing w:after="0"/>
              <w:rPr>
                <w:sz w:val="12"/>
                <w:szCs w:val="12"/>
                <w:color w:val="auto"/>
              </w:rPr>
            </w:pPr>
          </w:p>
        </w:tc>
        <w:tc>
          <w:tcPr>
            <w:tcW w:w="6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9"/>
              </w:rPr>
              <w:t>Estimated</w:t>
            </w:r>
          </w:p>
        </w:tc>
        <w:tc>
          <w:tcPr>
            <w:tcW w:w="8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88"/>
              </w:rPr>
              <w:t>The</w:t>
            </w:r>
          </w:p>
        </w:tc>
        <w:tc>
          <w:tcPr>
            <w:tcW w:w="420" w:type="dxa"/>
            <w:vAlign w:val="bottom"/>
          </w:tcPr>
          <w:p>
            <w:pPr>
              <w:spacing w:after="0"/>
              <w:rPr>
                <w:sz w:val="12"/>
                <w:szCs w:val="12"/>
                <w:color w:val="auto"/>
              </w:rPr>
            </w:pPr>
          </w:p>
        </w:tc>
        <w:tc>
          <w:tcPr>
            <w:tcW w:w="680" w:type="dxa"/>
            <w:vAlign w:val="bottom"/>
            <w:gridSpan w:val="3"/>
          </w:tcPr>
          <w:p>
            <w:pPr>
              <w:jc w:val="center"/>
              <w:ind w:right="20"/>
              <w:spacing w:after="0" w:line="149" w:lineRule="exact"/>
              <w:rPr>
                <w:sz w:val="20"/>
                <w:szCs w:val="20"/>
                <w:color w:val="auto"/>
              </w:rPr>
            </w:pPr>
            <w:r>
              <w:rPr>
                <w:rFonts w:ascii="Arial" w:cs="Arial" w:eastAsia="Arial" w:hAnsi="Arial"/>
                <w:sz w:val="14"/>
                <w:szCs w:val="14"/>
                <w:b w:val="1"/>
                <w:bCs w:val="1"/>
                <w:color w:val="auto"/>
                <w:w w:val="87"/>
              </w:rPr>
              <w:t>Through</w:t>
            </w:r>
          </w:p>
        </w:tc>
        <w:tc>
          <w:tcPr>
            <w:tcW w:w="800" w:type="dxa"/>
            <w:vAlign w:val="bottom"/>
          </w:tcPr>
          <w:p>
            <w:pPr>
              <w:spacing w:after="0"/>
              <w:rPr>
                <w:sz w:val="12"/>
                <w:szCs w:val="12"/>
                <w:color w:val="auto"/>
              </w:rPr>
            </w:pPr>
          </w:p>
        </w:tc>
        <w:tc>
          <w:tcPr>
            <w:tcW w:w="68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w w:val="93"/>
              </w:rPr>
              <w:t>Additional</w:t>
            </w:r>
          </w:p>
        </w:tc>
        <w:tc>
          <w:tcPr>
            <w:tcW w:w="8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3"/>
              </w:rPr>
              <w:t>Total</w:t>
            </w:r>
          </w:p>
        </w:tc>
        <w:tc>
          <w:tcPr>
            <w:tcW w:w="0" w:type="dxa"/>
            <w:vAlign w:val="bottom"/>
          </w:tcPr>
          <w:p>
            <w:pPr>
              <w:spacing w:after="0"/>
              <w:rPr>
                <w:sz w:val="1"/>
                <w:szCs w:val="1"/>
                <w:color w:val="auto"/>
              </w:rPr>
            </w:pPr>
          </w:p>
        </w:tc>
      </w:tr>
      <w:tr>
        <w:trPr>
          <w:trHeight w:val="149"/>
        </w:trPr>
        <w:tc>
          <w:tcPr>
            <w:tcW w:w="4740" w:type="dxa"/>
            <w:vAlign w:val="bottom"/>
          </w:tcPr>
          <w:p>
            <w:pPr>
              <w:spacing w:after="0"/>
              <w:rPr>
                <w:sz w:val="12"/>
                <w:szCs w:val="12"/>
                <w:color w:val="auto"/>
              </w:rPr>
            </w:pPr>
          </w:p>
        </w:tc>
        <w:tc>
          <w:tcPr>
            <w:tcW w:w="1380" w:type="dxa"/>
            <w:vAlign w:val="bottom"/>
            <w:gridSpan w:val="3"/>
          </w:tcPr>
          <w:p>
            <w:pPr>
              <w:jc w:val="center"/>
              <w:ind w:right="380"/>
              <w:spacing w:after="0" w:line="149" w:lineRule="exact"/>
              <w:rPr>
                <w:sz w:val="20"/>
                <w:szCs w:val="20"/>
                <w:color w:val="auto"/>
              </w:rPr>
            </w:pPr>
            <w:r>
              <w:rPr>
                <w:rFonts w:ascii="Arial" w:cs="Arial" w:eastAsia="Arial" w:hAnsi="Arial"/>
                <w:sz w:val="14"/>
                <w:szCs w:val="14"/>
                <w:b w:val="1"/>
                <w:bCs w:val="1"/>
                <w:color w:val="auto"/>
                <w:w w:val="90"/>
              </w:rPr>
              <w:t>Quarter Ended</w:t>
            </w:r>
          </w:p>
        </w:tc>
        <w:tc>
          <w:tcPr>
            <w:tcW w:w="420" w:type="dxa"/>
            <w:vAlign w:val="bottom"/>
          </w:tcPr>
          <w:p>
            <w:pPr>
              <w:spacing w:after="0"/>
              <w:rPr>
                <w:sz w:val="12"/>
                <w:szCs w:val="12"/>
                <w:color w:val="auto"/>
              </w:rPr>
            </w:pPr>
          </w:p>
        </w:tc>
        <w:tc>
          <w:tcPr>
            <w:tcW w:w="680" w:type="dxa"/>
            <w:vAlign w:val="bottom"/>
            <w:gridSpan w:val="3"/>
          </w:tcPr>
          <w:p>
            <w:pPr>
              <w:jc w:val="center"/>
              <w:ind w:right="60"/>
              <w:spacing w:after="0" w:line="149" w:lineRule="exact"/>
              <w:rPr>
                <w:sz w:val="20"/>
                <w:szCs w:val="20"/>
                <w:color w:val="auto"/>
              </w:rPr>
            </w:pPr>
            <w:r>
              <w:rPr>
                <w:rFonts w:ascii="Arial" w:cs="Arial" w:eastAsia="Arial" w:hAnsi="Arial"/>
                <w:sz w:val="14"/>
                <w:szCs w:val="14"/>
                <w:b w:val="1"/>
                <w:bCs w:val="1"/>
                <w:color w:val="auto"/>
                <w:w w:val="85"/>
              </w:rPr>
              <w:t>December</w:t>
            </w: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jc w:val="center"/>
              <w:ind w:right="57"/>
              <w:spacing w:after="0" w:line="149" w:lineRule="exact"/>
              <w:rPr>
                <w:sz w:val="20"/>
                <w:szCs w:val="20"/>
                <w:color w:val="auto"/>
              </w:rPr>
            </w:pPr>
            <w:r>
              <w:rPr>
                <w:rFonts w:ascii="Arial" w:cs="Arial" w:eastAsia="Arial" w:hAnsi="Arial"/>
                <w:sz w:val="14"/>
                <w:szCs w:val="14"/>
                <w:b w:val="1"/>
                <w:bCs w:val="1"/>
                <w:color w:val="auto"/>
                <w:w w:val="82"/>
              </w:rPr>
              <w:t>Costs</w:t>
            </w:r>
          </w:p>
        </w:tc>
        <w:tc>
          <w:tcPr>
            <w:tcW w:w="820" w:type="dxa"/>
            <w:vAlign w:val="bottom"/>
          </w:tcPr>
          <w:p>
            <w:pPr>
              <w:spacing w:after="0"/>
              <w:rPr>
                <w:sz w:val="12"/>
                <w:szCs w:val="12"/>
                <w:color w:val="auto"/>
              </w:rPr>
            </w:pPr>
          </w:p>
        </w:tc>
        <w:tc>
          <w:tcPr>
            <w:tcW w:w="98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87"/>
              </w:rPr>
              <w:t>Restructuring</w:t>
            </w:r>
          </w:p>
        </w:tc>
        <w:tc>
          <w:tcPr>
            <w:tcW w:w="0" w:type="dxa"/>
            <w:vAlign w:val="bottom"/>
          </w:tcPr>
          <w:p>
            <w:pPr>
              <w:spacing w:after="0"/>
              <w:rPr>
                <w:sz w:val="1"/>
                <w:szCs w:val="1"/>
                <w:color w:val="auto"/>
              </w:rPr>
            </w:pPr>
          </w:p>
        </w:tc>
      </w:tr>
      <w:tr>
        <w:trPr>
          <w:trHeight w:val="149"/>
        </w:trPr>
        <w:tc>
          <w:tcPr>
            <w:tcW w:w="4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85"/>
              </w:rPr>
              <w:t>December 31,</w:t>
            </w: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jc w:val="right"/>
              <w:ind w:right="158"/>
              <w:spacing w:after="0" w:line="149" w:lineRule="exact"/>
              <w:rPr>
                <w:sz w:val="20"/>
                <w:szCs w:val="20"/>
                <w:color w:val="auto"/>
              </w:rPr>
            </w:pPr>
            <w:r>
              <w:rPr>
                <w:rFonts w:ascii="Arial" w:cs="Arial" w:eastAsia="Arial" w:hAnsi="Arial"/>
                <w:sz w:val="14"/>
                <w:szCs w:val="14"/>
                <w:b w:val="1"/>
                <w:bCs w:val="1"/>
                <w:color w:val="auto"/>
              </w:rPr>
              <w:t>31,</w:t>
            </w:r>
          </w:p>
        </w:tc>
        <w:tc>
          <w:tcPr>
            <w:tcW w:w="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jc w:val="center"/>
              <w:ind w:right="57"/>
              <w:spacing w:after="0" w:line="149" w:lineRule="exact"/>
              <w:rPr>
                <w:sz w:val="20"/>
                <w:szCs w:val="20"/>
                <w:color w:val="auto"/>
              </w:rPr>
            </w:pPr>
            <w:r>
              <w:rPr>
                <w:rFonts w:ascii="Arial" w:cs="Arial" w:eastAsia="Arial" w:hAnsi="Arial"/>
                <w:sz w:val="14"/>
                <w:szCs w:val="14"/>
                <w:b w:val="1"/>
                <w:bCs w:val="1"/>
                <w:color w:val="auto"/>
                <w:w w:val="83"/>
              </w:rPr>
              <w:t>to be</w:t>
            </w:r>
          </w:p>
        </w:tc>
        <w:tc>
          <w:tcPr>
            <w:tcW w:w="820" w:type="dxa"/>
            <w:vAlign w:val="bottom"/>
          </w:tcPr>
          <w:p>
            <w:pPr>
              <w:spacing w:after="0"/>
              <w:rPr>
                <w:sz w:val="12"/>
                <w:szCs w:val="12"/>
                <w:color w:val="auto"/>
              </w:rPr>
            </w:pPr>
          </w:p>
        </w:tc>
        <w:tc>
          <w:tcPr>
            <w:tcW w:w="9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1"/>
              </w:rPr>
              <w:t>Costs Expected</w:t>
            </w:r>
          </w:p>
        </w:tc>
        <w:tc>
          <w:tcPr>
            <w:tcW w:w="0" w:type="dxa"/>
            <w:vAlign w:val="bottom"/>
          </w:tcPr>
          <w:p>
            <w:pPr>
              <w:spacing w:after="0"/>
              <w:rPr>
                <w:sz w:val="1"/>
                <w:szCs w:val="1"/>
                <w:color w:val="auto"/>
              </w:rPr>
            </w:pPr>
          </w:p>
        </w:tc>
      </w:tr>
      <w:tr>
        <w:trPr>
          <w:trHeight w:val="161"/>
        </w:trPr>
        <w:tc>
          <w:tcPr>
            <w:tcW w:w="4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jc w:val="center"/>
              <w:ind w:right="20"/>
              <w:spacing w:after="0"/>
              <w:rPr>
                <w:sz w:val="20"/>
                <w:szCs w:val="20"/>
                <w:color w:val="auto"/>
              </w:rPr>
            </w:pPr>
            <w:r>
              <w:rPr>
                <w:rFonts w:ascii="Arial" w:cs="Arial" w:eastAsia="Arial" w:hAnsi="Arial"/>
                <w:sz w:val="14"/>
                <w:szCs w:val="14"/>
                <w:b w:val="1"/>
                <w:bCs w:val="1"/>
                <w:color w:val="auto"/>
                <w:w w:val="83"/>
              </w:rPr>
              <w:t>2010</w:t>
            </w:r>
          </w:p>
        </w:tc>
        <w:tc>
          <w:tcPr>
            <w:tcW w:w="4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jc w:val="right"/>
              <w:ind w:right="118"/>
              <w:spacing w:after="0"/>
              <w:rPr>
                <w:sz w:val="20"/>
                <w:szCs w:val="20"/>
                <w:color w:val="auto"/>
              </w:rPr>
            </w:pPr>
            <w:r>
              <w:rPr>
                <w:rFonts w:ascii="Arial" w:cs="Arial" w:eastAsia="Arial" w:hAnsi="Arial"/>
                <w:sz w:val="14"/>
                <w:szCs w:val="14"/>
                <w:b w:val="1"/>
                <w:bCs w:val="1"/>
                <w:color w:val="auto"/>
              </w:rPr>
              <w:t>2010</w:t>
            </w:r>
          </w:p>
        </w:tc>
        <w:tc>
          <w:tcPr>
            <w:tcW w:w="20" w:type="dxa"/>
            <w:vAlign w:val="bottom"/>
          </w:tcPr>
          <w:p>
            <w:pPr>
              <w:spacing w:after="0"/>
              <w:rPr>
                <w:sz w:val="14"/>
                <w:szCs w:val="14"/>
                <w:color w:val="auto"/>
              </w:rPr>
            </w:pPr>
          </w:p>
        </w:tc>
        <w:tc>
          <w:tcPr>
            <w:tcW w:w="800" w:type="dxa"/>
            <w:vAlign w:val="bottom"/>
            <w:vMerge w:val="restart"/>
          </w:tcPr>
          <w:p>
            <w:pPr>
              <w:ind w:left="20"/>
              <w:spacing w:after="0"/>
              <w:rPr>
                <w:sz w:val="20"/>
                <w:szCs w:val="20"/>
                <w:color w:val="auto"/>
              </w:rPr>
            </w:pPr>
            <w:r>
              <w:rPr>
                <w:rFonts w:ascii="Arial" w:cs="Arial" w:eastAsia="Arial" w:hAnsi="Arial"/>
                <w:sz w:val="14"/>
                <w:szCs w:val="14"/>
                <w:color w:val="auto"/>
              </w:rPr>
              <w:t>(In millions)</w:t>
            </w:r>
          </w:p>
        </w:tc>
        <w:tc>
          <w:tcPr>
            <w:tcW w:w="6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2"/>
              </w:rPr>
              <w:t>Incurred</w:t>
            </w:r>
          </w:p>
        </w:tc>
        <w:tc>
          <w:tcPr>
            <w:tcW w:w="820" w:type="dxa"/>
            <w:vAlign w:val="bottom"/>
          </w:tcPr>
          <w:p>
            <w:pPr>
              <w:spacing w:after="0"/>
              <w:rPr>
                <w:sz w:val="14"/>
                <w:szCs w:val="14"/>
                <w:color w:val="auto"/>
              </w:rPr>
            </w:pPr>
          </w:p>
        </w:tc>
        <w:tc>
          <w:tcPr>
            <w:tcW w:w="98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89"/>
              </w:rPr>
              <w:t>to be Incurred</w:t>
            </w:r>
          </w:p>
        </w:tc>
        <w:tc>
          <w:tcPr>
            <w:tcW w:w="0" w:type="dxa"/>
            <w:vAlign w:val="bottom"/>
          </w:tcPr>
          <w:p>
            <w:pPr>
              <w:spacing w:after="0"/>
              <w:rPr>
                <w:sz w:val="1"/>
                <w:szCs w:val="1"/>
                <w:color w:val="auto"/>
              </w:rPr>
            </w:pPr>
          </w:p>
        </w:tc>
      </w:tr>
      <w:tr>
        <w:trPr>
          <w:trHeight w:val="142"/>
        </w:trPr>
        <w:tc>
          <w:tcPr>
            <w:tcW w:w="47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4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82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7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North America:</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tcPr>
          <w:p>
            <w:pPr>
              <w:ind w:left="440"/>
              <w:spacing w:after="0"/>
              <w:rPr>
                <w:sz w:val="20"/>
                <w:szCs w:val="20"/>
                <w:color w:val="auto"/>
              </w:rPr>
            </w:pPr>
            <w:r>
              <w:rPr>
                <w:rFonts w:ascii="Arial" w:cs="Arial" w:eastAsia="Arial" w:hAnsi="Arial"/>
                <w:sz w:val="18"/>
                <w:szCs w:val="18"/>
                <w:color w:val="auto"/>
              </w:rPr>
              <w:t>Severance and benefits</w:t>
            </w:r>
          </w:p>
        </w:tc>
        <w:tc>
          <w:tcPr>
            <w:tcW w:w="100" w:type="dxa"/>
            <w:vAlign w:val="bottom"/>
          </w:tcPr>
          <w:p>
            <w:pPr>
              <w:spacing w:after="0"/>
              <w:rPr>
                <w:sz w:val="20"/>
                <w:szCs w:val="20"/>
                <w:color w:val="auto"/>
              </w:rPr>
            </w:pPr>
            <w:r>
              <w:rPr>
                <w:rFonts w:ascii="Arial" w:cs="Arial" w:eastAsia="Arial" w:hAnsi="Arial"/>
                <w:sz w:val="18"/>
                <w:szCs w:val="18"/>
                <w:b w:val="1"/>
                <w:bCs w:val="1"/>
                <w:color w:val="auto"/>
                <w:w w:val="79"/>
              </w:rPr>
              <w:t>$</w:t>
            </w:r>
          </w:p>
        </w:tc>
        <w:tc>
          <w:tcPr>
            <w:tcW w:w="128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2.2</w:t>
            </w:r>
          </w:p>
        </w:tc>
        <w:tc>
          <w:tcPr>
            <w:tcW w:w="54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56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6.1</w:t>
            </w:r>
          </w:p>
        </w:tc>
        <w:tc>
          <w:tcPr>
            <w:tcW w:w="940" w:type="dxa"/>
            <w:vAlign w:val="bottom"/>
            <w:gridSpan w:val="2"/>
          </w:tcPr>
          <w:p>
            <w:pPr>
              <w:ind w:left="800"/>
              <w:spacing w:after="0"/>
              <w:rPr>
                <w:sz w:val="20"/>
                <w:szCs w:val="20"/>
                <w:color w:val="auto"/>
              </w:rPr>
            </w:pPr>
            <w:r>
              <w:rPr>
                <w:rFonts w:ascii="Arial" w:cs="Arial" w:eastAsia="Arial" w:hAnsi="Arial"/>
                <w:sz w:val="18"/>
                <w:szCs w:val="18"/>
                <w:b w:val="1"/>
                <w:bCs w:val="1"/>
                <w:color w:val="auto"/>
              </w:rPr>
              <w:t>$</w:t>
            </w:r>
          </w:p>
        </w:tc>
        <w:tc>
          <w:tcPr>
            <w:tcW w:w="540" w:type="dxa"/>
            <w:vAlign w:val="bottom"/>
          </w:tcPr>
          <w:p>
            <w:pPr>
              <w:jc w:val="right"/>
              <w:spacing w:after="0"/>
              <w:rPr>
                <w:sz w:val="20"/>
                <w:szCs w:val="20"/>
                <w:color w:val="auto"/>
              </w:rPr>
            </w:pPr>
            <w:r>
              <w:rPr>
                <w:rFonts w:ascii="Arial" w:cs="Arial" w:eastAsia="Arial" w:hAnsi="Arial"/>
                <w:sz w:val="18"/>
                <w:szCs w:val="18"/>
                <w:b w:val="1"/>
                <w:bCs w:val="1"/>
                <w:color w:val="auto"/>
              </w:rPr>
              <w:t>2.6</w:t>
            </w:r>
          </w:p>
        </w:tc>
        <w:tc>
          <w:tcPr>
            <w:tcW w:w="1000" w:type="dxa"/>
            <w:vAlign w:val="bottom"/>
            <w:gridSpan w:val="2"/>
          </w:tcPr>
          <w:p>
            <w:pPr>
              <w:ind w:left="820"/>
              <w:spacing w:after="0"/>
              <w:rPr>
                <w:sz w:val="20"/>
                <w:szCs w:val="20"/>
                <w:color w:val="auto"/>
              </w:rPr>
            </w:pPr>
            <w:r>
              <w:rPr>
                <w:rFonts w:ascii="Arial" w:cs="Arial" w:eastAsia="Arial" w:hAnsi="Arial"/>
                <w:sz w:val="18"/>
                <w:szCs w:val="18"/>
                <w:b w:val="1"/>
                <w:bCs w:val="1"/>
                <w:color w:val="auto"/>
              </w:rPr>
              <w:t>$</w:t>
            </w: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rPr>
              <w:t>8.7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Facilities and other</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b w:val="1"/>
                <w:bCs w:val="1"/>
                <w:color w:val="auto"/>
              </w:rPr>
              <w:t>—</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w:t>
            </w: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3.2</w:t>
            </w: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74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2.2</w:t>
            </w:r>
          </w:p>
        </w:tc>
        <w:tc>
          <w:tcPr>
            <w:tcW w:w="4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6.1</w:t>
            </w:r>
          </w:p>
        </w:tc>
        <w:tc>
          <w:tcPr>
            <w:tcW w:w="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5.8</w:t>
            </w:r>
          </w:p>
        </w:tc>
        <w:tc>
          <w:tcPr>
            <w:tcW w:w="82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7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47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International:</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tcPr>
          <w:p>
            <w:pPr>
              <w:ind w:left="440"/>
              <w:spacing w:after="0"/>
              <w:rPr>
                <w:sz w:val="20"/>
                <w:szCs w:val="20"/>
                <w:color w:val="auto"/>
              </w:rPr>
            </w:pPr>
            <w:r>
              <w:rPr>
                <w:rFonts w:ascii="Arial" w:cs="Arial" w:eastAsia="Arial" w:hAnsi="Arial"/>
                <w:sz w:val="18"/>
                <w:szCs w:val="18"/>
                <w:color w:val="auto"/>
              </w:rPr>
              <w:t>Severance and benefits</w:t>
            </w:r>
          </w:p>
        </w:tc>
        <w:tc>
          <w:tcPr>
            <w:tcW w:w="100" w:type="dxa"/>
            <w:vAlign w:val="bottom"/>
          </w:tcPr>
          <w:p>
            <w:pPr>
              <w:spacing w:after="0"/>
              <w:rPr>
                <w:sz w:val="20"/>
                <w:szCs w:val="20"/>
                <w:color w:val="auto"/>
              </w:rPr>
            </w:pPr>
            <w:r>
              <w:rPr>
                <w:rFonts w:ascii="Arial" w:cs="Arial" w:eastAsia="Arial" w:hAnsi="Arial"/>
                <w:sz w:val="18"/>
                <w:szCs w:val="18"/>
                <w:b w:val="1"/>
                <w:bCs w:val="1"/>
                <w:color w:val="auto"/>
                <w:w w:val="79"/>
              </w:rPr>
              <w:t>$</w:t>
            </w:r>
          </w:p>
        </w:tc>
        <w:tc>
          <w:tcPr>
            <w:tcW w:w="128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0.4</w:t>
            </w:r>
          </w:p>
        </w:tc>
        <w:tc>
          <w:tcPr>
            <w:tcW w:w="54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56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1.2</w:t>
            </w:r>
          </w:p>
        </w:tc>
        <w:tc>
          <w:tcPr>
            <w:tcW w:w="940" w:type="dxa"/>
            <w:vAlign w:val="bottom"/>
            <w:gridSpan w:val="2"/>
          </w:tcPr>
          <w:p>
            <w:pPr>
              <w:ind w:left="800"/>
              <w:spacing w:after="0"/>
              <w:rPr>
                <w:sz w:val="20"/>
                <w:szCs w:val="20"/>
                <w:color w:val="auto"/>
              </w:rPr>
            </w:pPr>
            <w:r>
              <w:rPr>
                <w:rFonts w:ascii="Arial" w:cs="Arial" w:eastAsia="Arial" w:hAnsi="Arial"/>
                <w:sz w:val="18"/>
                <w:szCs w:val="18"/>
                <w:b w:val="1"/>
                <w:bCs w:val="1"/>
                <w:color w:val="auto"/>
              </w:rPr>
              <w:t>$</w:t>
            </w:r>
          </w:p>
        </w:tc>
        <w:tc>
          <w:tcPr>
            <w:tcW w:w="540" w:type="dxa"/>
            <w:vAlign w:val="bottom"/>
          </w:tcPr>
          <w:p>
            <w:pPr>
              <w:jc w:val="right"/>
              <w:spacing w:after="0"/>
              <w:rPr>
                <w:sz w:val="20"/>
                <w:szCs w:val="20"/>
                <w:color w:val="auto"/>
              </w:rPr>
            </w:pPr>
            <w:r>
              <w:rPr>
                <w:rFonts w:ascii="Arial" w:cs="Arial" w:eastAsia="Arial" w:hAnsi="Arial"/>
                <w:sz w:val="18"/>
                <w:szCs w:val="18"/>
                <w:b w:val="1"/>
                <w:bCs w:val="1"/>
                <w:color w:val="auto"/>
              </w:rPr>
              <w:t>0.8</w:t>
            </w:r>
          </w:p>
        </w:tc>
        <w:tc>
          <w:tcPr>
            <w:tcW w:w="1000" w:type="dxa"/>
            <w:vAlign w:val="bottom"/>
            <w:gridSpan w:val="2"/>
          </w:tcPr>
          <w:p>
            <w:pPr>
              <w:ind w:left="820"/>
              <w:spacing w:after="0"/>
              <w:rPr>
                <w:sz w:val="20"/>
                <w:szCs w:val="20"/>
                <w:color w:val="auto"/>
              </w:rPr>
            </w:pPr>
            <w:r>
              <w:rPr>
                <w:rFonts w:ascii="Arial" w:cs="Arial" w:eastAsia="Arial" w:hAnsi="Arial"/>
                <w:sz w:val="18"/>
                <w:szCs w:val="18"/>
                <w:b w:val="1"/>
                <w:bCs w:val="1"/>
                <w:color w:val="auto"/>
              </w:rPr>
              <w:t>$</w:t>
            </w: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rPr>
              <w:t>2.0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Facilities and other</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b w:val="1"/>
                <w:bCs w:val="1"/>
                <w:color w:val="auto"/>
              </w:rPr>
              <w:t>—</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w:t>
            </w: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0.3</w:t>
            </w: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74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0.4</w:t>
            </w:r>
          </w:p>
        </w:tc>
        <w:tc>
          <w:tcPr>
            <w:tcW w:w="4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w:t>
            </w:r>
          </w:p>
        </w:tc>
        <w:tc>
          <w:tcPr>
            <w:tcW w:w="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w:t>
            </w:r>
          </w:p>
        </w:tc>
        <w:tc>
          <w:tcPr>
            <w:tcW w:w="82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7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47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Totals for Fiscal 2011 Plan</w:t>
            </w:r>
          </w:p>
        </w:tc>
        <w:tc>
          <w:tcPr>
            <w:tcW w:w="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79"/>
              </w:rPr>
              <w:t>$</w:t>
            </w: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b w:val="1"/>
                <w:bCs w:val="1"/>
                <w:color w:val="auto"/>
              </w:rPr>
              <w:t>2.6</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7.3</w:t>
            </w:r>
          </w:p>
        </w:tc>
        <w:tc>
          <w:tcPr>
            <w:tcW w:w="940" w:type="dxa"/>
            <w:vAlign w:val="bottom"/>
            <w:gridSpan w:val="2"/>
            <w:shd w:val="clear" w:color="auto" w:fill="CCEEFF"/>
          </w:tcPr>
          <w:p>
            <w:pPr>
              <w:ind w:left="800"/>
              <w:spacing w:after="0"/>
              <w:rPr>
                <w:sz w:val="20"/>
                <w:szCs w:val="20"/>
                <w:color w:val="auto"/>
              </w:rPr>
            </w:pPr>
            <w:r>
              <w:rPr>
                <w:rFonts w:ascii="Arial" w:cs="Arial" w:eastAsia="Arial" w:hAnsi="Arial"/>
                <w:sz w:val="18"/>
                <w:szCs w:val="18"/>
                <w:b w:val="1"/>
                <w:bCs w:val="1"/>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6.9</w:t>
            </w:r>
          </w:p>
        </w:tc>
        <w:tc>
          <w:tcPr>
            <w:tcW w:w="1000" w:type="dxa"/>
            <w:vAlign w:val="bottom"/>
            <w:gridSpan w:val="2"/>
            <w:shd w:val="clear" w:color="auto" w:fill="CCEEFF"/>
          </w:tcPr>
          <w:p>
            <w:pPr>
              <w:ind w:left="820"/>
              <w:spacing w:after="0"/>
              <w:rPr>
                <w:sz w:val="20"/>
                <w:szCs w:val="20"/>
                <w:color w:val="auto"/>
              </w:rPr>
            </w:pPr>
            <w:r>
              <w:rPr>
                <w:rFonts w:ascii="Arial" w:cs="Arial" w:eastAsia="Arial" w:hAnsi="Arial"/>
                <w:sz w:val="18"/>
                <w:szCs w:val="18"/>
                <w:b w:val="1"/>
                <w:bCs w:val="1"/>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14.2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7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440" w:firstLine="456"/>
        <w:spacing w:after="0" w:line="306" w:lineRule="auto"/>
        <w:rPr>
          <w:sz w:val="20"/>
          <w:szCs w:val="20"/>
          <w:color w:val="auto"/>
        </w:rPr>
      </w:pPr>
      <w:r>
        <w:rPr>
          <w:rFonts w:ascii="Arial" w:cs="Arial" w:eastAsia="Arial" w:hAnsi="Arial"/>
          <w:sz w:val="16"/>
          <w:szCs w:val="16"/>
          <w:color w:val="auto"/>
        </w:rPr>
        <w:t>Our Fiscal 2011 Plan is underway with the costs shown above incurred during the first two quarters of fiscal 2011. We expect to incur further costs to complete the initiatives of the restructuring plan which include, but are not limited to, the consolidation of most of our finance function to our California headquarters and the reallocation of research and development resources among our facilities in the United States, Slovenia and New Zealand.</w:t>
      </w:r>
    </w:p>
    <w:p>
      <w:pPr>
        <w:spacing w:after="0" w:line="10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following table summarizes our costs incurred through December 31, 2010, estimated additional costs to be incurred and estimated total costs expected to be incurred under the Fiscal 2009 Plan:</w:t>
      </w:r>
    </w:p>
    <w:p>
      <w:pPr>
        <w:spacing w:after="0" w:line="156"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60" w:type="dxa"/>
            <w:vAlign w:val="bottom"/>
            <w:gridSpan w:val="3"/>
          </w:tcPr>
          <w:p>
            <w:pPr>
              <w:jc w:val="center"/>
              <w:ind w:left="317"/>
              <w:spacing w:after="0"/>
              <w:rPr>
                <w:sz w:val="20"/>
                <w:szCs w:val="20"/>
                <w:color w:val="auto"/>
              </w:rPr>
            </w:pPr>
            <w:r>
              <w:rPr>
                <w:rFonts w:ascii="Arial" w:cs="Arial" w:eastAsia="Arial" w:hAnsi="Arial"/>
                <w:sz w:val="14"/>
                <w:szCs w:val="14"/>
                <w:b w:val="1"/>
                <w:bCs w:val="1"/>
                <w:color w:val="auto"/>
                <w:w w:val="87"/>
              </w:rPr>
              <w:t>Cumulative</w:t>
            </w: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60" w:type="dxa"/>
            <w:vAlign w:val="bottom"/>
            <w:gridSpan w:val="2"/>
          </w:tcPr>
          <w:p>
            <w:pPr>
              <w:jc w:val="center"/>
              <w:ind w:right="620"/>
              <w:spacing w:after="0" w:line="149" w:lineRule="exact"/>
              <w:rPr>
                <w:sz w:val="20"/>
                <w:szCs w:val="20"/>
                <w:color w:val="auto"/>
              </w:rPr>
            </w:pPr>
            <w:r>
              <w:rPr>
                <w:rFonts w:ascii="Arial" w:cs="Arial" w:eastAsia="Arial" w:hAnsi="Arial"/>
                <w:sz w:val="14"/>
                <w:szCs w:val="14"/>
                <w:b w:val="1"/>
                <w:bCs w:val="1"/>
                <w:color w:val="auto"/>
                <w:w w:val="83"/>
              </w:rPr>
              <w:t>Total Costs</w:t>
            </w: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center"/>
              <w:ind w:right="40"/>
              <w:spacing w:after="0" w:line="149" w:lineRule="exact"/>
              <w:rPr>
                <w:sz w:val="20"/>
                <w:szCs w:val="20"/>
                <w:color w:val="auto"/>
              </w:rPr>
            </w:pPr>
            <w:r>
              <w:rPr>
                <w:rFonts w:ascii="Arial" w:cs="Arial" w:eastAsia="Arial" w:hAnsi="Arial"/>
                <w:sz w:val="14"/>
                <w:szCs w:val="14"/>
                <w:b w:val="1"/>
                <w:bCs w:val="1"/>
                <w:color w:val="auto"/>
                <w:w w:val="77"/>
              </w:rPr>
              <w:t>Costs</w:t>
            </w: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720" w:type="dxa"/>
            <w:vAlign w:val="bottom"/>
          </w:tcPr>
          <w:p>
            <w:pPr>
              <w:spacing w:after="0"/>
              <w:rPr>
                <w:sz w:val="12"/>
                <w:szCs w:val="12"/>
                <w:color w:val="auto"/>
              </w:rPr>
            </w:pPr>
          </w:p>
        </w:tc>
        <w:tc>
          <w:tcPr>
            <w:tcW w:w="1420" w:type="dxa"/>
            <w:vAlign w:val="bottom"/>
            <w:gridSpan w:val="3"/>
          </w:tcPr>
          <w:p>
            <w:pPr>
              <w:jc w:val="center"/>
              <w:ind w:right="460"/>
              <w:spacing w:after="0" w:line="149" w:lineRule="exact"/>
              <w:rPr>
                <w:sz w:val="20"/>
                <w:szCs w:val="20"/>
                <w:color w:val="auto"/>
              </w:rPr>
            </w:pPr>
            <w:r>
              <w:rPr>
                <w:rFonts w:ascii="Arial" w:cs="Arial" w:eastAsia="Arial" w:hAnsi="Arial"/>
                <w:sz w:val="14"/>
                <w:szCs w:val="14"/>
                <w:b w:val="1"/>
                <w:bCs w:val="1"/>
                <w:color w:val="auto"/>
                <w:w w:val="91"/>
              </w:rPr>
              <w:t>Incurred During</w:t>
            </w:r>
          </w:p>
        </w:tc>
        <w:tc>
          <w:tcPr>
            <w:tcW w:w="400" w:type="dxa"/>
            <w:vAlign w:val="bottom"/>
          </w:tcPr>
          <w:p>
            <w:pPr>
              <w:spacing w:after="0"/>
              <w:rPr>
                <w:sz w:val="12"/>
                <w:szCs w:val="12"/>
                <w:color w:val="auto"/>
              </w:rPr>
            </w:pPr>
          </w:p>
        </w:tc>
        <w:tc>
          <w:tcPr>
            <w:tcW w:w="6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9"/>
              </w:rPr>
              <w:t>Incurred</w:t>
            </w:r>
          </w:p>
        </w:tc>
        <w:tc>
          <w:tcPr>
            <w:tcW w:w="820" w:type="dxa"/>
            <w:vAlign w:val="bottom"/>
          </w:tcPr>
          <w:p>
            <w:pPr>
              <w:spacing w:after="0"/>
              <w:rPr>
                <w:sz w:val="12"/>
                <w:szCs w:val="12"/>
                <w:color w:val="auto"/>
              </w:rPr>
            </w:pPr>
          </w:p>
        </w:tc>
        <w:tc>
          <w:tcPr>
            <w:tcW w:w="6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9"/>
              </w:rPr>
              <w:t>Estimated</w:t>
            </w:r>
          </w:p>
        </w:tc>
        <w:tc>
          <w:tcPr>
            <w:tcW w:w="8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60" w:type="dxa"/>
            <w:vAlign w:val="bottom"/>
            <w:gridSpan w:val="2"/>
          </w:tcPr>
          <w:p>
            <w:pPr>
              <w:jc w:val="center"/>
              <w:ind w:right="600"/>
              <w:spacing w:after="0" w:line="149" w:lineRule="exact"/>
              <w:rPr>
                <w:sz w:val="20"/>
                <w:szCs w:val="20"/>
                <w:color w:val="auto"/>
              </w:rPr>
            </w:pPr>
            <w:r>
              <w:rPr>
                <w:rFonts w:ascii="Arial" w:cs="Arial" w:eastAsia="Arial" w:hAnsi="Arial"/>
                <w:sz w:val="14"/>
                <w:szCs w:val="14"/>
                <w:b w:val="1"/>
                <w:bCs w:val="1"/>
                <w:color w:val="auto"/>
                <w:w w:val="88"/>
              </w:rPr>
              <w:t>The</w:t>
            </w: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through</w:t>
            </w:r>
          </w:p>
        </w:tc>
        <w:tc>
          <w:tcPr>
            <w:tcW w:w="820" w:type="dxa"/>
            <w:vAlign w:val="bottom"/>
          </w:tcPr>
          <w:p>
            <w:pPr>
              <w:spacing w:after="0"/>
              <w:rPr>
                <w:sz w:val="12"/>
                <w:szCs w:val="12"/>
                <w:color w:val="auto"/>
              </w:rPr>
            </w:pPr>
          </w:p>
        </w:tc>
        <w:tc>
          <w:tcPr>
            <w:tcW w:w="68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w w:val="93"/>
              </w:rPr>
              <w:t>Additional</w:t>
            </w:r>
          </w:p>
        </w:tc>
        <w:tc>
          <w:tcPr>
            <w:tcW w:w="8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3"/>
              </w:rPr>
              <w:t>Total</w:t>
            </w:r>
          </w:p>
        </w:tc>
        <w:tc>
          <w:tcPr>
            <w:tcW w:w="0" w:type="dxa"/>
            <w:vAlign w:val="bottom"/>
          </w:tcPr>
          <w:p>
            <w:pPr>
              <w:spacing w:after="0"/>
              <w:rPr>
                <w:sz w:val="1"/>
                <w:szCs w:val="1"/>
                <w:color w:val="auto"/>
              </w:rPr>
            </w:pPr>
          </w:p>
        </w:tc>
      </w:tr>
      <w:tr>
        <w:trPr>
          <w:trHeight w:val="149"/>
        </w:trPr>
        <w:tc>
          <w:tcPr>
            <w:tcW w:w="4720" w:type="dxa"/>
            <w:vAlign w:val="bottom"/>
          </w:tcPr>
          <w:p>
            <w:pPr>
              <w:spacing w:after="0"/>
              <w:rPr>
                <w:sz w:val="12"/>
                <w:szCs w:val="12"/>
                <w:color w:val="auto"/>
              </w:rPr>
            </w:pPr>
          </w:p>
        </w:tc>
        <w:tc>
          <w:tcPr>
            <w:tcW w:w="1420" w:type="dxa"/>
            <w:vAlign w:val="bottom"/>
            <w:gridSpan w:val="3"/>
          </w:tcPr>
          <w:p>
            <w:pPr>
              <w:jc w:val="center"/>
              <w:ind w:right="460"/>
              <w:spacing w:after="0" w:line="149" w:lineRule="exact"/>
              <w:rPr>
                <w:sz w:val="20"/>
                <w:szCs w:val="20"/>
                <w:color w:val="auto"/>
              </w:rPr>
            </w:pPr>
            <w:r>
              <w:rPr>
                <w:rFonts w:ascii="Arial" w:cs="Arial" w:eastAsia="Arial" w:hAnsi="Arial"/>
                <w:sz w:val="14"/>
                <w:szCs w:val="14"/>
                <w:b w:val="1"/>
                <w:bCs w:val="1"/>
                <w:color w:val="auto"/>
                <w:w w:val="90"/>
              </w:rPr>
              <w:t>Quarter Ended</w:t>
            </w:r>
          </w:p>
        </w:tc>
        <w:tc>
          <w:tcPr>
            <w:tcW w:w="400" w:type="dxa"/>
            <w:vAlign w:val="bottom"/>
          </w:tcPr>
          <w:p>
            <w:pPr>
              <w:spacing w:after="0"/>
              <w:rPr>
                <w:sz w:val="12"/>
                <w:szCs w:val="12"/>
                <w:color w:val="auto"/>
              </w:rPr>
            </w:pPr>
          </w:p>
        </w:tc>
        <w:tc>
          <w:tcPr>
            <w:tcW w:w="6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5"/>
              </w:rPr>
              <w:t>December</w:t>
            </w: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jc w:val="center"/>
              <w:ind w:right="57"/>
              <w:spacing w:after="0" w:line="149" w:lineRule="exact"/>
              <w:rPr>
                <w:sz w:val="20"/>
                <w:szCs w:val="20"/>
                <w:color w:val="auto"/>
              </w:rPr>
            </w:pPr>
            <w:r>
              <w:rPr>
                <w:rFonts w:ascii="Arial" w:cs="Arial" w:eastAsia="Arial" w:hAnsi="Arial"/>
                <w:sz w:val="14"/>
                <w:szCs w:val="14"/>
                <w:b w:val="1"/>
                <w:bCs w:val="1"/>
                <w:color w:val="auto"/>
                <w:w w:val="82"/>
              </w:rPr>
              <w:t>Costs</w:t>
            </w:r>
          </w:p>
        </w:tc>
        <w:tc>
          <w:tcPr>
            <w:tcW w:w="820" w:type="dxa"/>
            <w:vAlign w:val="bottom"/>
          </w:tcPr>
          <w:p>
            <w:pPr>
              <w:spacing w:after="0"/>
              <w:rPr>
                <w:sz w:val="12"/>
                <w:szCs w:val="12"/>
                <w:color w:val="auto"/>
              </w:rPr>
            </w:pPr>
          </w:p>
        </w:tc>
        <w:tc>
          <w:tcPr>
            <w:tcW w:w="98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87"/>
              </w:rPr>
              <w:t>Restructuring</w:t>
            </w:r>
          </w:p>
        </w:tc>
        <w:tc>
          <w:tcPr>
            <w:tcW w:w="0" w:type="dxa"/>
            <w:vAlign w:val="bottom"/>
          </w:tcPr>
          <w:p>
            <w:pPr>
              <w:spacing w:after="0"/>
              <w:rPr>
                <w:sz w:val="1"/>
                <w:szCs w:val="1"/>
                <w:color w:val="auto"/>
              </w:rPr>
            </w:pPr>
          </w:p>
        </w:tc>
      </w:tr>
      <w:tr>
        <w:trPr>
          <w:trHeight w:val="149"/>
        </w:trPr>
        <w:tc>
          <w:tcPr>
            <w:tcW w:w="4720" w:type="dxa"/>
            <w:vAlign w:val="bottom"/>
          </w:tcPr>
          <w:p>
            <w:pPr>
              <w:spacing w:after="0"/>
              <w:rPr>
                <w:sz w:val="12"/>
                <w:szCs w:val="12"/>
                <w:color w:val="auto"/>
              </w:rPr>
            </w:pPr>
          </w:p>
        </w:tc>
        <w:tc>
          <w:tcPr>
            <w:tcW w:w="1420" w:type="dxa"/>
            <w:vAlign w:val="bottom"/>
            <w:gridSpan w:val="3"/>
          </w:tcPr>
          <w:p>
            <w:pPr>
              <w:jc w:val="center"/>
              <w:ind w:right="440"/>
              <w:spacing w:after="0" w:line="149" w:lineRule="exact"/>
              <w:rPr>
                <w:sz w:val="20"/>
                <w:szCs w:val="20"/>
                <w:color w:val="auto"/>
              </w:rPr>
            </w:pPr>
            <w:r>
              <w:rPr>
                <w:rFonts w:ascii="Arial" w:cs="Arial" w:eastAsia="Arial" w:hAnsi="Arial"/>
                <w:sz w:val="14"/>
                <w:szCs w:val="14"/>
                <w:b w:val="1"/>
                <w:bCs w:val="1"/>
                <w:color w:val="auto"/>
                <w:w w:val="85"/>
              </w:rPr>
              <w:t>December 31,</w:t>
            </w: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ind w:right="160"/>
              <w:spacing w:after="0" w:line="149" w:lineRule="exact"/>
              <w:rPr>
                <w:sz w:val="20"/>
                <w:szCs w:val="20"/>
                <w:color w:val="auto"/>
              </w:rPr>
            </w:pPr>
            <w:r>
              <w:rPr>
                <w:rFonts w:ascii="Arial" w:cs="Arial" w:eastAsia="Arial" w:hAnsi="Arial"/>
                <w:sz w:val="14"/>
                <w:szCs w:val="14"/>
                <w:b w:val="1"/>
                <w:bCs w:val="1"/>
                <w:color w:val="auto"/>
              </w:rPr>
              <w:t>31,</w:t>
            </w: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jc w:val="center"/>
              <w:ind w:right="57"/>
              <w:spacing w:after="0" w:line="149" w:lineRule="exact"/>
              <w:rPr>
                <w:sz w:val="20"/>
                <w:szCs w:val="20"/>
                <w:color w:val="auto"/>
              </w:rPr>
            </w:pPr>
            <w:r>
              <w:rPr>
                <w:rFonts w:ascii="Arial" w:cs="Arial" w:eastAsia="Arial" w:hAnsi="Arial"/>
                <w:sz w:val="14"/>
                <w:szCs w:val="14"/>
                <w:b w:val="1"/>
                <w:bCs w:val="1"/>
                <w:color w:val="auto"/>
                <w:w w:val="83"/>
              </w:rPr>
              <w:t>to be</w:t>
            </w:r>
          </w:p>
        </w:tc>
        <w:tc>
          <w:tcPr>
            <w:tcW w:w="820" w:type="dxa"/>
            <w:vAlign w:val="bottom"/>
          </w:tcPr>
          <w:p>
            <w:pPr>
              <w:spacing w:after="0"/>
              <w:rPr>
                <w:sz w:val="12"/>
                <w:szCs w:val="12"/>
                <w:color w:val="auto"/>
              </w:rPr>
            </w:pPr>
          </w:p>
        </w:tc>
        <w:tc>
          <w:tcPr>
            <w:tcW w:w="9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1"/>
              </w:rPr>
              <w:t>Costs Expected</w:t>
            </w:r>
          </w:p>
        </w:tc>
        <w:tc>
          <w:tcPr>
            <w:tcW w:w="0" w:type="dxa"/>
            <w:vAlign w:val="bottom"/>
          </w:tcPr>
          <w:p>
            <w:pPr>
              <w:spacing w:after="0"/>
              <w:rPr>
                <w:sz w:val="1"/>
                <w:szCs w:val="1"/>
                <w:color w:val="auto"/>
              </w:rPr>
            </w:pPr>
          </w:p>
        </w:tc>
      </w:tr>
      <w:tr>
        <w:trPr>
          <w:trHeight w:val="161"/>
        </w:trPr>
        <w:tc>
          <w:tcPr>
            <w:tcW w:w="4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jc w:val="right"/>
              <w:ind w:right="278"/>
              <w:spacing w:after="0"/>
              <w:rPr>
                <w:sz w:val="20"/>
                <w:szCs w:val="20"/>
                <w:color w:val="auto"/>
              </w:rPr>
            </w:pPr>
            <w:r>
              <w:rPr>
                <w:rFonts w:ascii="Arial" w:cs="Arial" w:eastAsia="Arial" w:hAnsi="Arial"/>
                <w:sz w:val="14"/>
                <w:szCs w:val="14"/>
                <w:b w:val="1"/>
                <w:bCs w:val="1"/>
                <w:color w:val="auto"/>
              </w:rPr>
              <w:t>2010</w:t>
            </w:r>
          </w:p>
        </w:tc>
        <w:tc>
          <w:tcPr>
            <w:tcW w:w="4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jc w:val="right"/>
              <w:ind w:right="120"/>
              <w:spacing w:after="0"/>
              <w:rPr>
                <w:sz w:val="20"/>
                <w:szCs w:val="20"/>
                <w:color w:val="auto"/>
              </w:rPr>
            </w:pPr>
            <w:r>
              <w:rPr>
                <w:rFonts w:ascii="Arial" w:cs="Arial" w:eastAsia="Arial" w:hAnsi="Arial"/>
                <w:sz w:val="14"/>
                <w:szCs w:val="14"/>
                <w:b w:val="1"/>
                <w:bCs w:val="1"/>
                <w:color w:val="auto"/>
              </w:rPr>
              <w:t>2010</w:t>
            </w:r>
          </w:p>
        </w:tc>
        <w:tc>
          <w:tcPr>
            <w:tcW w:w="820" w:type="dxa"/>
            <w:vAlign w:val="bottom"/>
            <w:vMerge w:val="restart"/>
          </w:tcPr>
          <w:p>
            <w:pPr>
              <w:spacing w:after="0"/>
              <w:rPr>
                <w:sz w:val="20"/>
                <w:szCs w:val="20"/>
                <w:color w:val="auto"/>
              </w:rPr>
            </w:pPr>
            <w:r>
              <w:rPr>
                <w:rFonts w:ascii="Arial" w:cs="Arial" w:eastAsia="Arial" w:hAnsi="Arial"/>
                <w:sz w:val="14"/>
                <w:szCs w:val="14"/>
                <w:b w:val="1"/>
                <w:bCs w:val="1"/>
                <w:color w:val="auto"/>
              </w:rPr>
              <w:t>(In millions)</w:t>
            </w:r>
          </w:p>
        </w:tc>
        <w:tc>
          <w:tcPr>
            <w:tcW w:w="6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2"/>
              </w:rPr>
              <w:t>Incurred</w:t>
            </w:r>
          </w:p>
        </w:tc>
        <w:tc>
          <w:tcPr>
            <w:tcW w:w="820" w:type="dxa"/>
            <w:vAlign w:val="bottom"/>
          </w:tcPr>
          <w:p>
            <w:pPr>
              <w:spacing w:after="0"/>
              <w:rPr>
                <w:sz w:val="14"/>
                <w:szCs w:val="14"/>
                <w:color w:val="auto"/>
              </w:rPr>
            </w:pPr>
          </w:p>
        </w:tc>
        <w:tc>
          <w:tcPr>
            <w:tcW w:w="98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89"/>
              </w:rPr>
              <w:t>to be Incurred</w:t>
            </w:r>
          </w:p>
        </w:tc>
        <w:tc>
          <w:tcPr>
            <w:tcW w:w="0" w:type="dxa"/>
            <w:vAlign w:val="bottom"/>
          </w:tcPr>
          <w:p>
            <w:pPr>
              <w:spacing w:after="0"/>
              <w:rPr>
                <w:sz w:val="1"/>
                <w:szCs w:val="1"/>
                <w:color w:val="auto"/>
              </w:rPr>
            </w:pPr>
          </w:p>
        </w:tc>
      </w:tr>
      <w:tr>
        <w:trPr>
          <w:trHeight w:val="142"/>
        </w:trPr>
        <w:tc>
          <w:tcPr>
            <w:tcW w:w="472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4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820" w:type="dxa"/>
            <w:vAlign w:val="bottom"/>
            <w:vMerge w:val="continue"/>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82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7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North America:</w:t>
            </w: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20" w:type="dxa"/>
            <w:vAlign w:val="bottom"/>
          </w:tcPr>
          <w:p>
            <w:pPr>
              <w:ind w:left="440"/>
              <w:spacing w:after="0"/>
              <w:rPr>
                <w:sz w:val="20"/>
                <w:szCs w:val="20"/>
                <w:color w:val="auto"/>
              </w:rPr>
            </w:pPr>
            <w:r>
              <w:rPr>
                <w:rFonts w:ascii="Arial" w:cs="Arial" w:eastAsia="Arial" w:hAnsi="Arial"/>
                <w:sz w:val="18"/>
                <w:szCs w:val="18"/>
                <w:color w:val="auto"/>
              </w:rPr>
              <w:t>Severance and benefits</w:t>
            </w:r>
          </w:p>
        </w:tc>
        <w:tc>
          <w:tcPr>
            <w:tcW w:w="160" w:type="dxa"/>
            <w:vAlign w:val="bottom"/>
          </w:tcPr>
          <w:p>
            <w:pPr>
              <w:spacing w:after="0"/>
              <w:rPr>
                <w:sz w:val="20"/>
                <w:szCs w:val="20"/>
                <w:color w:val="auto"/>
              </w:rPr>
            </w:pPr>
            <w:r>
              <w:rPr>
                <w:rFonts w:ascii="Arial" w:cs="Arial" w:eastAsia="Arial" w:hAnsi="Arial"/>
                <w:sz w:val="18"/>
                <w:szCs w:val="18"/>
                <w:b w:val="1"/>
                <w:bCs w:val="1"/>
                <w:color w:val="auto"/>
                <w:w w:val="87"/>
              </w:rPr>
              <w:t>($</w:t>
            </w:r>
          </w:p>
        </w:tc>
        <w:tc>
          <w:tcPr>
            <w:tcW w:w="1260" w:type="dxa"/>
            <w:vAlign w:val="bottom"/>
            <w:gridSpan w:val="2"/>
          </w:tcPr>
          <w:p>
            <w:pPr>
              <w:ind w:left="600"/>
              <w:spacing w:after="0"/>
              <w:rPr>
                <w:sz w:val="20"/>
                <w:szCs w:val="20"/>
                <w:color w:val="auto"/>
              </w:rPr>
            </w:pPr>
            <w:r>
              <w:rPr>
                <w:rFonts w:ascii="Arial" w:cs="Arial" w:eastAsia="Arial" w:hAnsi="Arial"/>
                <w:sz w:val="18"/>
                <w:szCs w:val="18"/>
                <w:b w:val="1"/>
                <w:bCs w:val="1"/>
                <w:color w:val="auto"/>
              </w:rPr>
              <w:t>0.1)</w:t>
            </w:r>
          </w:p>
        </w:tc>
        <w:tc>
          <w:tcPr>
            <w:tcW w:w="48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rPr>
              <w:t>8.4</w:t>
            </w:r>
          </w:p>
        </w:tc>
        <w:tc>
          <w:tcPr>
            <w:tcW w:w="960" w:type="dxa"/>
            <w:vAlign w:val="bottom"/>
            <w:gridSpan w:val="2"/>
          </w:tcPr>
          <w:p>
            <w:pPr>
              <w:ind w:left="820"/>
              <w:spacing w:after="0"/>
              <w:rPr>
                <w:sz w:val="20"/>
                <w:szCs w:val="20"/>
                <w:color w:val="auto"/>
              </w:rPr>
            </w:pPr>
            <w:r>
              <w:rPr>
                <w:rFonts w:ascii="Arial" w:cs="Arial" w:eastAsia="Arial" w:hAnsi="Arial"/>
                <w:sz w:val="18"/>
                <w:szCs w:val="18"/>
                <w:b w:val="1"/>
                <w:bCs w:val="1"/>
                <w:color w:val="auto"/>
              </w:rPr>
              <w:t>$</w:t>
            </w:r>
          </w:p>
        </w:tc>
        <w:tc>
          <w:tcPr>
            <w:tcW w:w="540" w:type="dxa"/>
            <w:vAlign w:val="bottom"/>
          </w:tcPr>
          <w:p>
            <w:pPr>
              <w:jc w:val="right"/>
              <w:spacing w:after="0"/>
              <w:rPr>
                <w:sz w:val="20"/>
                <w:szCs w:val="20"/>
                <w:color w:val="auto"/>
              </w:rPr>
            </w:pPr>
            <w:r>
              <w:rPr>
                <w:rFonts w:ascii="Arial" w:cs="Arial" w:eastAsia="Arial" w:hAnsi="Arial"/>
                <w:sz w:val="18"/>
                <w:szCs w:val="18"/>
                <w:b w:val="1"/>
                <w:bCs w:val="1"/>
                <w:color w:val="auto"/>
              </w:rPr>
              <w:t>2.7</w:t>
            </w:r>
          </w:p>
        </w:tc>
        <w:tc>
          <w:tcPr>
            <w:tcW w:w="1000" w:type="dxa"/>
            <w:vAlign w:val="bottom"/>
            <w:gridSpan w:val="2"/>
          </w:tcPr>
          <w:p>
            <w:pPr>
              <w:ind w:left="820"/>
              <w:spacing w:after="0"/>
              <w:rPr>
                <w:sz w:val="20"/>
                <w:szCs w:val="20"/>
                <w:color w:val="auto"/>
              </w:rPr>
            </w:pPr>
            <w:r>
              <w:rPr>
                <w:rFonts w:ascii="Arial" w:cs="Arial" w:eastAsia="Arial" w:hAnsi="Arial"/>
                <w:sz w:val="18"/>
                <w:szCs w:val="18"/>
                <w:b w:val="1"/>
                <w:bCs w:val="1"/>
                <w:color w:val="auto"/>
              </w:rPr>
              <w:t>$</w:t>
            </w: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rPr>
              <w:t>11.1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Facilities and other</w:t>
            </w:r>
          </w:p>
        </w:tc>
        <w:tc>
          <w:tcPr>
            <w:tcW w:w="16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ind w:left="540"/>
              <w:spacing w:after="0"/>
              <w:rPr>
                <w:sz w:val="20"/>
                <w:szCs w:val="20"/>
                <w:color w:val="auto"/>
              </w:rPr>
            </w:pPr>
            <w:r>
              <w:rPr>
                <w:rFonts w:ascii="Arial" w:cs="Arial" w:eastAsia="Arial" w:hAnsi="Arial"/>
                <w:sz w:val="18"/>
                <w:szCs w:val="18"/>
                <w:b w:val="1"/>
                <w:bCs w:val="1"/>
                <w:color w:val="auto"/>
              </w:rPr>
              <w:t>—</w:t>
            </w:r>
          </w:p>
        </w:tc>
        <w:tc>
          <w:tcPr>
            <w:tcW w:w="4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3.1</w:t>
            </w:r>
          </w:p>
        </w:tc>
        <w:tc>
          <w:tcPr>
            <w:tcW w:w="8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w:t>
            </w:r>
          </w:p>
        </w:tc>
        <w:tc>
          <w:tcPr>
            <w:tcW w:w="8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720" w:type="dxa"/>
            <w:vAlign w:val="bottom"/>
          </w:tcPr>
          <w:p>
            <w:pPr>
              <w:spacing w:after="0"/>
              <w:rPr>
                <w:sz w:val="19"/>
                <w:szCs w:val="19"/>
                <w:color w:val="auto"/>
              </w:rPr>
            </w:pPr>
          </w:p>
        </w:tc>
        <w:tc>
          <w:tcPr>
            <w:tcW w:w="160" w:type="dxa"/>
            <w:vAlign w:val="bottom"/>
          </w:tcPr>
          <w:p>
            <w:pPr>
              <w:spacing w:after="0"/>
              <w:rPr>
                <w:sz w:val="20"/>
                <w:szCs w:val="20"/>
                <w:color w:val="auto"/>
              </w:rPr>
            </w:pPr>
            <w:r>
              <w:rPr>
                <w:rFonts w:ascii="Arial" w:cs="Arial" w:eastAsia="Arial" w:hAnsi="Arial"/>
                <w:sz w:val="18"/>
                <w:szCs w:val="18"/>
                <w:b w:val="1"/>
                <w:bCs w:val="1"/>
                <w:color w:val="auto"/>
                <w:w w:val="87"/>
              </w:rPr>
              <w:t>($</w:t>
            </w:r>
          </w:p>
        </w:tc>
        <w:tc>
          <w:tcPr>
            <w:tcW w:w="1260" w:type="dxa"/>
            <w:vAlign w:val="bottom"/>
            <w:gridSpan w:val="2"/>
          </w:tcPr>
          <w:p>
            <w:pPr>
              <w:ind w:left="600"/>
              <w:spacing w:after="0"/>
              <w:rPr>
                <w:sz w:val="20"/>
                <w:szCs w:val="20"/>
                <w:color w:val="auto"/>
              </w:rPr>
            </w:pPr>
            <w:r>
              <w:rPr>
                <w:rFonts w:ascii="Arial" w:cs="Arial" w:eastAsia="Arial" w:hAnsi="Arial"/>
                <w:sz w:val="18"/>
                <w:szCs w:val="18"/>
                <w:b w:val="1"/>
                <w:bCs w:val="1"/>
                <w:color w:val="auto"/>
              </w:rPr>
              <w:t>0.1)</w:t>
            </w:r>
          </w:p>
        </w:tc>
        <w:tc>
          <w:tcPr>
            <w:tcW w:w="40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rPr>
              <w:t>11.5</w:t>
            </w:r>
          </w:p>
        </w:tc>
        <w:tc>
          <w:tcPr>
            <w:tcW w:w="820" w:type="dxa"/>
            <w:vAlign w:val="bottom"/>
          </w:tcPr>
          <w:p>
            <w:pPr>
              <w:spacing w:after="0"/>
              <w:rPr>
                <w:sz w:val="19"/>
                <w:szCs w:val="19"/>
                <w:color w:val="auto"/>
              </w:rPr>
            </w:pPr>
          </w:p>
        </w:tc>
        <w:tc>
          <w:tcPr>
            <w:tcW w:w="140" w:type="dxa"/>
            <w:vAlign w:val="bottom"/>
          </w:tcPr>
          <w:p>
            <w:pPr>
              <w:spacing w:after="0"/>
              <w:rPr>
                <w:sz w:val="20"/>
                <w:szCs w:val="20"/>
                <w:color w:val="auto"/>
              </w:rPr>
            </w:pPr>
            <w:r>
              <w:rPr>
                <w:rFonts w:ascii="Arial" w:cs="Arial" w:eastAsia="Arial" w:hAnsi="Arial"/>
                <w:sz w:val="18"/>
                <w:szCs w:val="18"/>
                <w:b w:val="1"/>
                <w:bCs w:val="1"/>
                <w:color w:val="auto"/>
              </w:rPr>
              <w:t>$</w:t>
            </w:r>
          </w:p>
        </w:tc>
        <w:tc>
          <w:tcPr>
            <w:tcW w:w="540" w:type="dxa"/>
            <w:vAlign w:val="bottom"/>
          </w:tcPr>
          <w:p>
            <w:pPr>
              <w:jc w:val="right"/>
              <w:spacing w:after="0"/>
              <w:rPr>
                <w:sz w:val="20"/>
                <w:szCs w:val="20"/>
                <w:color w:val="auto"/>
              </w:rPr>
            </w:pPr>
            <w:r>
              <w:rPr>
                <w:rFonts w:ascii="Arial" w:cs="Arial" w:eastAsia="Arial" w:hAnsi="Arial"/>
                <w:sz w:val="18"/>
                <w:szCs w:val="18"/>
                <w:b w:val="1"/>
                <w:bCs w:val="1"/>
                <w:color w:val="auto"/>
              </w:rPr>
              <w:t>3.8</w:t>
            </w:r>
          </w:p>
        </w:tc>
        <w:tc>
          <w:tcPr>
            <w:tcW w:w="820" w:type="dxa"/>
            <w:vAlign w:val="bottom"/>
          </w:tcPr>
          <w:p>
            <w:pPr>
              <w:spacing w:after="0"/>
              <w:rPr>
                <w:sz w:val="19"/>
                <w:szCs w:val="19"/>
                <w:color w:val="auto"/>
              </w:rPr>
            </w:pPr>
          </w:p>
        </w:tc>
        <w:tc>
          <w:tcPr>
            <w:tcW w:w="180" w:type="dxa"/>
            <w:vAlign w:val="bottom"/>
          </w:tcPr>
          <w:p>
            <w:pPr>
              <w:spacing w:after="0"/>
              <w:rPr>
                <w:sz w:val="20"/>
                <w:szCs w:val="20"/>
                <w:color w:val="auto"/>
              </w:rPr>
            </w:pPr>
            <w:r>
              <w:rPr>
                <w:rFonts w:ascii="Arial" w:cs="Arial" w:eastAsia="Arial" w:hAnsi="Arial"/>
                <w:sz w:val="18"/>
                <w:szCs w:val="18"/>
                <w:b w:val="1"/>
                <w:bCs w:val="1"/>
                <w:color w:val="auto"/>
              </w:rPr>
              <w:t>$</w:t>
            </w: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rPr>
              <w:t>15.3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7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47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International:</w:t>
            </w: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20" w:type="dxa"/>
            <w:vAlign w:val="bottom"/>
          </w:tcPr>
          <w:p>
            <w:pPr>
              <w:ind w:left="440"/>
              <w:spacing w:after="0"/>
              <w:rPr>
                <w:sz w:val="20"/>
                <w:szCs w:val="20"/>
                <w:color w:val="auto"/>
              </w:rPr>
            </w:pPr>
            <w:r>
              <w:rPr>
                <w:rFonts w:ascii="Arial" w:cs="Arial" w:eastAsia="Arial" w:hAnsi="Arial"/>
                <w:sz w:val="18"/>
                <w:szCs w:val="18"/>
                <w:color w:val="auto"/>
              </w:rPr>
              <w:t>Severance and benefits</w:t>
            </w:r>
          </w:p>
        </w:tc>
        <w:tc>
          <w:tcPr>
            <w:tcW w:w="160" w:type="dxa"/>
            <w:vAlign w:val="bottom"/>
          </w:tcPr>
          <w:p>
            <w:pPr>
              <w:spacing w:after="0"/>
              <w:rPr>
                <w:sz w:val="20"/>
                <w:szCs w:val="20"/>
                <w:color w:val="auto"/>
              </w:rPr>
            </w:pPr>
            <w:r>
              <w:rPr>
                <w:rFonts w:ascii="Arial" w:cs="Arial" w:eastAsia="Arial" w:hAnsi="Arial"/>
                <w:sz w:val="18"/>
                <w:szCs w:val="18"/>
                <w:b w:val="1"/>
                <w:bCs w:val="1"/>
                <w:color w:val="auto"/>
              </w:rPr>
              <w:t>$</w:t>
            </w:r>
          </w:p>
        </w:tc>
        <w:tc>
          <w:tcPr>
            <w:tcW w:w="1260" w:type="dxa"/>
            <w:vAlign w:val="bottom"/>
            <w:gridSpan w:val="2"/>
          </w:tcPr>
          <w:p>
            <w:pPr>
              <w:ind w:left="600"/>
              <w:spacing w:after="0"/>
              <w:rPr>
                <w:sz w:val="20"/>
                <w:szCs w:val="20"/>
                <w:color w:val="auto"/>
              </w:rPr>
            </w:pPr>
            <w:r>
              <w:rPr>
                <w:rFonts w:ascii="Arial" w:cs="Arial" w:eastAsia="Arial" w:hAnsi="Arial"/>
                <w:sz w:val="18"/>
                <w:szCs w:val="18"/>
                <w:b w:val="1"/>
                <w:bCs w:val="1"/>
                <w:color w:val="auto"/>
              </w:rPr>
              <w:t>0.9</w:t>
            </w:r>
          </w:p>
        </w:tc>
        <w:tc>
          <w:tcPr>
            <w:tcW w:w="48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rPr>
              <w:t>5.8</w:t>
            </w:r>
          </w:p>
        </w:tc>
        <w:tc>
          <w:tcPr>
            <w:tcW w:w="960" w:type="dxa"/>
            <w:vAlign w:val="bottom"/>
            <w:gridSpan w:val="2"/>
          </w:tcPr>
          <w:p>
            <w:pPr>
              <w:ind w:left="820"/>
              <w:spacing w:after="0"/>
              <w:rPr>
                <w:sz w:val="20"/>
                <w:szCs w:val="20"/>
                <w:color w:val="auto"/>
              </w:rPr>
            </w:pPr>
            <w:r>
              <w:rPr>
                <w:rFonts w:ascii="Arial" w:cs="Arial" w:eastAsia="Arial" w:hAnsi="Arial"/>
                <w:sz w:val="18"/>
                <w:szCs w:val="18"/>
                <w:b w:val="1"/>
                <w:bCs w:val="1"/>
                <w:color w:val="auto"/>
              </w:rPr>
              <w:t>$</w:t>
            </w:r>
          </w:p>
        </w:tc>
        <w:tc>
          <w:tcPr>
            <w:tcW w:w="540" w:type="dxa"/>
            <w:vAlign w:val="bottom"/>
          </w:tcPr>
          <w:p>
            <w:pPr>
              <w:jc w:val="right"/>
              <w:spacing w:after="0"/>
              <w:rPr>
                <w:sz w:val="20"/>
                <w:szCs w:val="20"/>
                <w:color w:val="auto"/>
              </w:rPr>
            </w:pPr>
            <w:r>
              <w:rPr>
                <w:rFonts w:ascii="Arial" w:cs="Arial" w:eastAsia="Arial" w:hAnsi="Arial"/>
                <w:sz w:val="18"/>
                <w:szCs w:val="18"/>
                <w:b w:val="1"/>
                <w:bCs w:val="1"/>
                <w:color w:val="auto"/>
              </w:rPr>
              <w:t>0.8</w:t>
            </w:r>
          </w:p>
        </w:tc>
        <w:tc>
          <w:tcPr>
            <w:tcW w:w="1000" w:type="dxa"/>
            <w:vAlign w:val="bottom"/>
            <w:gridSpan w:val="2"/>
          </w:tcPr>
          <w:p>
            <w:pPr>
              <w:ind w:left="820"/>
              <w:spacing w:after="0"/>
              <w:rPr>
                <w:sz w:val="20"/>
                <w:szCs w:val="20"/>
                <w:color w:val="auto"/>
              </w:rPr>
            </w:pPr>
            <w:r>
              <w:rPr>
                <w:rFonts w:ascii="Arial" w:cs="Arial" w:eastAsia="Arial" w:hAnsi="Arial"/>
                <w:sz w:val="18"/>
                <w:szCs w:val="18"/>
                <w:b w:val="1"/>
                <w:bCs w:val="1"/>
                <w:color w:val="auto"/>
              </w:rPr>
              <w:t>$</w:t>
            </w: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rPr>
              <w:t>6.6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Facilities and other</w:t>
            </w: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ind w:left="540"/>
              <w:spacing w:after="0"/>
              <w:rPr>
                <w:sz w:val="20"/>
                <w:szCs w:val="20"/>
                <w:color w:val="auto"/>
              </w:rPr>
            </w:pPr>
            <w:r>
              <w:rPr>
                <w:rFonts w:ascii="Arial" w:cs="Arial" w:eastAsia="Arial" w:hAnsi="Arial"/>
                <w:sz w:val="18"/>
                <w:szCs w:val="18"/>
                <w:b w:val="1"/>
                <w:bCs w:val="1"/>
                <w:color w:val="auto"/>
              </w:rPr>
              <w:t>—</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0.2</w:t>
            </w: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ind w:right="17"/>
              <w:spacing w:after="0"/>
              <w:rPr>
                <w:sz w:val="20"/>
                <w:szCs w:val="20"/>
                <w:color w:val="auto"/>
              </w:rPr>
            </w:pPr>
            <w:r>
              <w:rPr>
                <w:rFonts w:ascii="Arial" w:cs="Arial" w:eastAsia="Arial" w:hAnsi="Arial"/>
                <w:sz w:val="18"/>
                <w:szCs w:val="18"/>
                <w:b w:val="1"/>
                <w:bCs w:val="1"/>
                <w:color w:val="auto"/>
              </w:rPr>
              <w:t>—</w:t>
            </w: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72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820" w:type="dxa"/>
            <w:vAlign w:val="bottom"/>
            <w:tcBorders>
              <w:top w:val="single" w:sz="8" w:color="auto"/>
              <w:bottom w:val="single" w:sz="8" w:color="auto"/>
            </w:tcBorders>
          </w:tcPr>
          <w:p>
            <w:pPr>
              <w:ind w:left="600"/>
              <w:spacing w:after="0"/>
              <w:rPr>
                <w:sz w:val="20"/>
                <w:szCs w:val="20"/>
                <w:color w:val="auto"/>
              </w:rPr>
            </w:pPr>
            <w:r>
              <w:rPr>
                <w:rFonts w:ascii="Arial" w:cs="Arial" w:eastAsia="Arial" w:hAnsi="Arial"/>
                <w:sz w:val="18"/>
                <w:szCs w:val="18"/>
                <w:b w:val="1"/>
                <w:bCs w:val="1"/>
                <w:color w:val="auto"/>
                <w:w w:val="79"/>
              </w:rPr>
              <w:t>0.9</w:t>
            </w:r>
          </w:p>
        </w:tc>
        <w:tc>
          <w:tcPr>
            <w:tcW w:w="4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6.0</w:t>
            </w:r>
          </w:p>
        </w:tc>
        <w:tc>
          <w:tcPr>
            <w:tcW w:w="82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0.8</w:t>
            </w:r>
          </w:p>
        </w:tc>
        <w:tc>
          <w:tcPr>
            <w:tcW w:w="82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7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47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Totals for Fiscal 2009 Plan</w:t>
            </w:r>
          </w:p>
        </w:tc>
        <w:tc>
          <w:tcPr>
            <w:tcW w:w="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1260" w:type="dxa"/>
            <w:vAlign w:val="bottom"/>
            <w:gridSpan w:val="2"/>
            <w:shd w:val="clear" w:color="auto" w:fill="CCEEFF"/>
          </w:tcPr>
          <w:p>
            <w:pPr>
              <w:ind w:left="600"/>
              <w:spacing w:after="0"/>
              <w:rPr>
                <w:sz w:val="20"/>
                <w:szCs w:val="20"/>
                <w:color w:val="auto"/>
              </w:rPr>
            </w:pPr>
            <w:r>
              <w:rPr>
                <w:rFonts w:ascii="Arial" w:cs="Arial" w:eastAsia="Arial" w:hAnsi="Arial"/>
                <w:sz w:val="18"/>
                <w:szCs w:val="18"/>
                <w:b w:val="1"/>
                <w:bCs w:val="1"/>
                <w:color w:val="auto"/>
              </w:rPr>
              <w:t>0.8</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17.5</w:t>
            </w:r>
          </w:p>
        </w:tc>
        <w:tc>
          <w:tcPr>
            <w:tcW w:w="960" w:type="dxa"/>
            <w:vAlign w:val="bottom"/>
            <w:gridSpan w:val="2"/>
            <w:shd w:val="clear" w:color="auto" w:fill="CCEEFF"/>
          </w:tcPr>
          <w:p>
            <w:pPr>
              <w:ind w:left="820"/>
              <w:spacing w:after="0"/>
              <w:rPr>
                <w:sz w:val="20"/>
                <w:szCs w:val="20"/>
                <w:color w:val="auto"/>
              </w:rPr>
            </w:pPr>
            <w:r>
              <w:rPr>
                <w:rFonts w:ascii="Arial" w:cs="Arial" w:eastAsia="Arial" w:hAnsi="Arial"/>
                <w:sz w:val="18"/>
                <w:szCs w:val="18"/>
                <w:b w:val="1"/>
                <w:bCs w:val="1"/>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4.6</w:t>
            </w:r>
          </w:p>
        </w:tc>
        <w:tc>
          <w:tcPr>
            <w:tcW w:w="1000" w:type="dxa"/>
            <w:vAlign w:val="bottom"/>
            <w:gridSpan w:val="2"/>
            <w:shd w:val="clear" w:color="auto" w:fill="CCEEFF"/>
          </w:tcPr>
          <w:p>
            <w:pPr>
              <w:ind w:left="820"/>
              <w:spacing w:after="0"/>
              <w:rPr>
                <w:sz w:val="20"/>
                <w:szCs w:val="20"/>
                <w:color w:val="auto"/>
              </w:rPr>
            </w:pPr>
            <w:r>
              <w:rPr>
                <w:rFonts w:ascii="Arial" w:cs="Arial" w:eastAsia="Arial" w:hAnsi="Arial"/>
                <w:sz w:val="18"/>
                <w:szCs w:val="18"/>
                <w:b w:val="1"/>
                <w:bCs w:val="1"/>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22.1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7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4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jc w:val="right"/>
              <w:ind w:right="278"/>
              <w:spacing w:after="0"/>
              <w:rPr>
                <w:sz w:val="20"/>
                <w:szCs w:val="20"/>
                <w:color w:val="auto"/>
              </w:rPr>
            </w:pPr>
            <w:r>
              <w:rPr>
                <w:rFonts w:ascii="Arial" w:cs="Arial" w:eastAsia="Arial" w:hAnsi="Arial"/>
                <w:sz w:val="18"/>
                <w:szCs w:val="18"/>
                <w:color w:val="auto"/>
              </w:rPr>
              <w:t>10</w:t>
            </w:r>
          </w:p>
        </w:tc>
        <w:tc>
          <w:tcPr>
            <w:tcW w:w="4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459" w:right="25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40" w:firstLine="456"/>
        <w:spacing w:after="0" w:line="268" w:lineRule="auto"/>
        <w:rPr>
          <w:sz w:val="20"/>
          <w:szCs w:val="20"/>
          <w:color w:val="auto"/>
        </w:rPr>
      </w:pPr>
      <w:r>
        <w:rPr>
          <w:rFonts w:ascii="Arial" w:cs="Arial" w:eastAsia="Arial" w:hAnsi="Arial"/>
          <w:sz w:val="18"/>
          <w:szCs w:val="18"/>
          <w:color w:val="auto"/>
        </w:rPr>
        <w:t>We expect our Fiscal 2009 Plan to restructure and transition our North America manufacturing operations and global supply chain operations to be completed by the end of fiscal 2011.</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Share-Based Compensation</w:t>
      </w:r>
    </w:p>
    <w:p>
      <w:pPr>
        <w:spacing w:after="0" w:line="96" w:lineRule="exact"/>
        <w:rPr>
          <w:sz w:val="20"/>
          <w:szCs w:val="20"/>
          <w:color w:val="auto"/>
        </w:rPr>
      </w:pPr>
    </w:p>
    <w:p>
      <w:pPr>
        <w:ind w:right="640" w:firstLine="456"/>
        <w:spacing w:after="0" w:line="332" w:lineRule="auto"/>
        <w:rPr>
          <w:sz w:val="20"/>
          <w:szCs w:val="20"/>
          <w:color w:val="auto"/>
        </w:rPr>
      </w:pPr>
      <w:r>
        <w:rPr>
          <w:rFonts w:ascii="Arial" w:cs="Arial" w:eastAsia="Arial" w:hAnsi="Arial"/>
          <w:sz w:val="16"/>
          <w:szCs w:val="16"/>
          <w:color w:val="auto"/>
        </w:rPr>
        <w:t>Our share-based compensation expense associated with stock options, restricted stock awards and units, and performance share awards and units is recorded in the following cost and expense categories for the quarter and two quarters ended December 31, 2010 and January 1, 2010:</w:t>
      </w:r>
    </w:p>
    <w:p>
      <w:pPr>
        <w:spacing w:after="0" w:line="121"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54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gridSpan w:val="3"/>
          </w:tcPr>
          <w:p>
            <w:pPr>
              <w:ind w:left="460"/>
              <w:spacing w:after="0"/>
              <w:rPr>
                <w:sz w:val="20"/>
                <w:szCs w:val="20"/>
                <w:color w:val="auto"/>
              </w:rPr>
            </w:pPr>
            <w:r>
              <w:rPr>
                <w:rFonts w:ascii="Arial" w:cs="Arial" w:eastAsia="Arial" w:hAnsi="Arial"/>
                <w:sz w:val="14"/>
                <w:szCs w:val="14"/>
                <w:b w:val="1"/>
                <w:bCs w:val="1"/>
                <w:color w:val="auto"/>
                <w:w w:val="88"/>
              </w:rPr>
              <w:t>Quarter Ended</w:t>
            </w:r>
          </w:p>
        </w:tc>
        <w:tc>
          <w:tcPr>
            <w:tcW w:w="14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7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Two Quarters Ended</w:t>
            </w:r>
          </w:p>
        </w:tc>
        <w:tc>
          <w:tcPr>
            <w:tcW w:w="4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29"/>
        </w:trPr>
        <w:tc>
          <w:tcPr>
            <w:tcW w:w="5400" w:type="dxa"/>
            <w:vAlign w:val="bottom"/>
          </w:tcPr>
          <w:p>
            <w:pPr>
              <w:spacing w:after="0"/>
              <w:rPr>
                <w:sz w:val="11"/>
                <w:szCs w:val="11"/>
                <w:color w:val="auto"/>
              </w:rPr>
            </w:pPr>
          </w:p>
        </w:tc>
        <w:tc>
          <w:tcPr>
            <w:tcW w:w="1520" w:type="dxa"/>
            <w:vAlign w:val="bottom"/>
            <w:gridSpan w:val="4"/>
          </w:tcPr>
          <w:p>
            <w:pPr>
              <w:jc w:val="right"/>
              <w:ind w:right="720"/>
              <w:spacing w:after="0" w:line="129" w:lineRule="exact"/>
              <w:rPr>
                <w:sz w:val="20"/>
                <w:szCs w:val="20"/>
                <w:color w:val="auto"/>
              </w:rPr>
            </w:pPr>
            <w:r>
              <w:rPr>
                <w:rFonts w:ascii="Arial" w:cs="Arial" w:eastAsia="Arial" w:hAnsi="Arial"/>
                <w:sz w:val="14"/>
                <w:szCs w:val="14"/>
                <w:b w:val="1"/>
                <w:bCs w:val="1"/>
                <w:color w:val="auto"/>
                <w:w w:val="85"/>
              </w:rPr>
              <w:t>December 31,</w:t>
            </w:r>
          </w:p>
        </w:tc>
        <w:tc>
          <w:tcPr>
            <w:tcW w:w="620" w:type="dxa"/>
            <w:vAlign w:val="bottom"/>
            <w:gridSpan w:val="2"/>
          </w:tcPr>
          <w:p>
            <w:pPr>
              <w:jc w:val="right"/>
              <w:spacing w:after="0" w:line="129" w:lineRule="exact"/>
              <w:rPr>
                <w:sz w:val="20"/>
                <w:szCs w:val="20"/>
                <w:color w:val="auto"/>
              </w:rPr>
            </w:pPr>
            <w:r>
              <w:rPr>
                <w:rFonts w:ascii="Arial" w:cs="Arial" w:eastAsia="Arial" w:hAnsi="Arial"/>
                <w:sz w:val="14"/>
                <w:szCs w:val="14"/>
                <w:b w:val="1"/>
                <w:bCs w:val="1"/>
                <w:color w:val="auto"/>
                <w:w w:val="86"/>
              </w:rPr>
              <w:t>January 1,</w:t>
            </w:r>
          </w:p>
        </w:tc>
        <w:tc>
          <w:tcPr>
            <w:tcW w:w="720" w:type="dxa"/>
            <w:vAlign w:val="bottom"/>
          </w:tcPr>
          <w:p>
            <w:pPr>
              <w:spacing w:after="0"/>
              <w:rPr>
                <w:sz w:val="11"/>
                <w:szCs w:val="11"/>
                <w:color w:val="auto"/>
              </w:rPr>
            </w:pPr>
          </w:p>
        </w:tc>
        <w:tc>
          <w:tcPr>
            <w:tcW w:w="1160" w:type="dxa"/>
            <w:vAlign w:val="bottom"/>
            <w:gridSpan w:val="3"/>
          </w:tcPr>
          <w:p>
            <w:pPr>
              <w:jc w:val="right"/>
              <w:ind w:right="380"/>
              <w:spacing w:after="0" w:line="129" w:lineRule="exact"/>
              <w:rPr>
                <w:sz w:val="20"/>
                <w:szCs w:val="20"/>
                <w:color w:val="auto"/>
              </w:rPr>
            </w:pPr>
            <w:r>
              <w:rPr>
                <w:rFonts w:ascii="Arial" w:cs="Arial" w:eastAsia="Arial" w:hAnsi="Arial"/>
                <w:sz w:val="14"/>
                <w:szCs w:val="14"/>
                <w:b w:val="1"/>
                <w:bCs w:val="1"/>
                <w:color w:val="auto"/>
                <w:w w:val="83"/>
              </w:rPr>
              <w:t>December 31,</w:t>
            </w:r>
          </w:p>
        </w:tc>
        <w:tc>
          <w:tcPr>
            <w:tcW w:w="360" w:type="dxa"/>
            <w:vAlign w:val="bottom"/>
          </w:tcPr>
          <w:p>
            <w:pPr>
              <w:spacing w:after="0"/>
              <w:rPr>
                <w:sz w:val="11"/>
                <w:szCs w:val="11"/>
                <w:color w:val="auto"/>
              </w:rPr>
            </w:pPr>
          </w:p>
        </w:tc>
        <w:tc>
          <w:tcPr>
            <w:tcW w:w="620" w:type="dxa"/>
            <w:vAlign w:val="bottom"/>
            <w:gridSpan w:val="2"/>
          </w:tcPr>
          <w:p>
            <w:pPr>
              <w:jc w:val="right"/>
              <w:spacing w:after="0" w:line="129" w:lineRule="exact"/>
              <w:rPr>
                <w:sz w:val="20"/>
                <w:szCs w:val="20"/>
                <w:color w:val="auto"/>
              </w:rPr>
            </w:pPr>
            <w:r>
              <w:rPr>
                <w:rFonts w:ascii="Arial" w:cs="Arial" w:eastAsia="Arial" w:hAnsi="Arial"/>
                <w:sz w:val="14"/>
                <w:szCs w:val="14"/>
                <w:b w:val="1"/>
                <w:bCs w:val="1"/>
                <w:color w:val="auto"/>
                <w:w w:val="86"/>
              </w:rPr>
              <w:t>January 1,</w:t>
            </w:r>
          </w:p>
        </w:tc>
        <w:tc>
          <w:tcPr>
            <w:tcW w:w="100" w:type="dxa"/>
            <w:vAlign w:val="bottom"/>
          </w:tcPr>
          <w:p>
            <w:pPr>
              <w:spacing w:after="0"/>
              <w:rPr>
                <w:sz w:val="11"/>
                <w:szCs w:val="11"/>
                <w:color w:val="auto"/>
              </w:rPr>
            </w:pPr>
          </w:p>
        </w:tc>
      </w:tr>
      <w:tr>
        <w:trPr>
          <w:trHeight w:val="161"/>
        </w:trPr>
        <w:tc>
          <w:tcPr>
            <w:tcW w:w="54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79"/>
              <w:spacing w:after="0"/>
              <w:rPr>
                <w:sz w:val="20"/>
                <w:szCs w:val="20"/>
                <w:color w:val="auto"/>
              </w:rPr>
            </w:pPr>
            <w:r>
              <w:rPr>
                <w:rFonts w:ascii="Arial" w:cs="Arial" w:eastAsia="Arial" w:hAnsi="Arial"/>
                <w:sz w:val="14"/>
                <w:szCs w:val="14"/>
                <w:b w:val="1"/>
                <w:bCs w:val="1"/>
                <w:color w:val="auto"/>
              </w:rPr>
              <w:t>2010</w:t>
            </w:r>
          </w:p>
        </w:tc>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96"/>
              <w:spacing w:after="0"/>
              <w:rPr>
                <w:sz w:val="20"/>
                <w:szCs w:val="20"/>
                <w:color w:val="auto"/>
              </w:rPr>
            </w:pPr>
            <w:r>
              <w:rPr>
                <w:rFonts w:ascii="Arial" w:cs="Arial" w:eastAsia="Arial" w:hAnsi="Arial"/>
                <w:sz w:val="14"/>
                <w:szCs w:val="14"/>
                <w:b w:val="1"/>
                <w:bCs w:val="1"/>
                <w:color w:val="auto"/>
                <w:w w:val="89"/>
              </w:rPr>
              <w:t>2010</w:t>
            </w:r>
          </w:p>
        </w:tc>
        <w:tc>
          <w:tcPr>
            <w:tcW w:w="7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79"/>
              <w:spacing w:after="0"/>
              <w:rPr>
                <w:sz w:val="20"/>
                <w:szCs w:val="20"/>
                <w:color w:val="auto"/>
              </w:rPr>
            </w:pPr>
            <w:r>
              <w:rPr>
                <w:rFonts w:ascii="Arial" w:cs="Arial" w:eastAsia="Arial" w:hAnsi="Arial"/>
                <w:sz w:val="14"/>
                <w:szCs w:val="14"/>
                <w:b w:val="1"/>
                <w:bCs w:val="1"/>
                <w:color w:val="auto"/>
              </w:rPr>
              <w:t>2010</w:t>
            </w:r>
          </w:p>
        </w:tc>
        <w:tc>
          <w:tcPr>
            <w:tcW w:w="3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ind w:right="76"/>
              <w:spacing w:after="0"/>
              <w:rPr>
                <w:sz w:val="20"/>
                <w:szCs w:val="20"/>
                <w:color w:val="auto"/>
              </w:rPr>
            </w:pPr>
            <w:r>
              <w:rPr>
                <w:rFonts w:ascii="Arial" w:cs="Arial" w:eastAsia="Arial" w:hAnsi="Arial"/>
                <w:sz w:val="14"/>
                <w:szCs w:val="14"/>
                <w:b w:val="1"/>
                <w:bCs w:val="1"/>
                <w:color w:val="auto"/>
                <w:w w:val="89"/>
              </w:rPr>
              <w:t>2010</w:t>
            </w:r>
          </w:p>
        </w:tc>
        <w:tc>
          <w:tcPr>
            <w:tcW w:w="100" w:type="dxa"/>
            <w:vAlign w:val="bottom"/>
          </w:tcPr>
          <w:p>
            <w:pPr>
              <w:spacing w:after="0"/>
              <w:rPr>
                <w:sz w:val="14"/>
                <w:szCs w:val="14"/>
                <w:color w:val="auto"/>
              </w:rPr>
            </w:pPr>
          </w:p>
        </w:tc>
      </w:tr>
      <w:tr>
        <w:trPr>
          <w:trHeight w:val="142"/>
        </w:trPr>
        <w:tc>
          <w:tcPr>
            <w:tcW w:w="5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720" w:type="dxa"/>
            <w:vAlign w:val="bottom"/>
          </w:tcPr>
          <w:p>
            <w:pPr>
              <w:ind w:left="20"/>
              <w:spacing w:after="0" w:line="142" w:lineRule="exact"/>
              <w:rPr>
                <w:sz w:val="20"/>
                <w:szCs w:val="20"/>
                <w:color w:val="auto"/>
              </w:rPr>
            </w:pPr>
            <w:r>
              <w:rPr>
                <w:rFonts w:ascii="Arial" w:cs="Arial" w:eastAsia="Arial" w:hAnsi="Arial"/>
                <w:sz w:val="14"/>
                <w:szCs w:val="14"/>
                <w:b w:val="1"/>
                <w:bCs w:val="1"/>
                <w:color w:val="auto"/>
                <w:w w:val="86"/>
              </w:rPr>
              <w:t>(In millions)</w:t>
            </w: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Cost of product sales and services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0.1</w:t>
            </w: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900" w:type="dxa"/>
            <w:vAlign w:val="bottom"/>
            <w:gridSpan w:val="2"/>
            <w:shd w:val="clear" w:color="auto" w:fill="CCEEFF"/>
          </w:tcPr>
          <w:p>
            <w:pPr>
              <w:jc w:val="right"/>
              <w:ind w:right="28"/>
              <w:spacing w:after="0"/>
              <w:rPr>
                <w:sz w:val="20"/>
                <w:szCs w:val="20"/>
                <w:color w:val="auto"/>
              </w:rPr>
            </w:pPr>
            <w:r>
              <w:rPr>
                <w:rFonts w:ascii="Arial" w:cs="Arial" w:eastAsia="Arial" w:hAnsi="Arial"/>
                <w:sz w:val="18"/>
                <w:szCs w:val="18"/>
                <w:b w:val="1"/>
                <w:bCs w:val="1"/>
                <w:color w:val="auto"/>
              </w:rPr>
              <w:t>$</w:t>
            </w:r>
          </w:p>
        </w:tc>
        <w:tc>
          <w:tcPr>
            <w:tcW w:w="9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b w:val="1"/>
                <w:bCs w:val="1"/>
                <w:color w:val="auto"/>
              </w:rPr>
              <w:t>0.2</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0.1</w:t>
            </w:r>
          </w:p>
        </w:tc>
        <w:tc>
          <w:tcPr>
            <w:tcW w:w="100" w:type="dxa"/>
            <w:vAlign w:val="bottom"/>
            <w:shd w:val="clear" w:color="auto" w:fill="CCEEFF"/>
          </w:tcPr>
          <w:p>
            <w:pPr>
              <w:spacing w:after="0"/>
              <w:rPr>
                <w:sz w:val="18"/>
                <w:szCs w:val="18"/>
                <w:color w:val="auto"/>
              </w:rPr>
            </w:pPr>
          </w:p>
        </w:tc>
      </w:tr>
      <w:tr>
        <w:trPr>
          <w:trHeight w:val="216"/>
        </w:trPr>
        <w:tc>
          <w:tcPr>
            <w:tcW w:w="5400" w:type="dxa"/>
            <w:vAlign w:val="bottom"/>
          </w:tcPr>
          <w:p>
            <w:pPr>
              <w:spacing w:after="0"/>
              <w:rPr>
                <w:sz w:val="20"/>
                <w:szCs w:val="20"/>
                <w:color w:val="auto"/>
              </w:rPr>
            </w:pPr>
            <w:r>
              <w:rPr>
                <w:rFonts w:ascii="Arial" w:cs="Arial" w:eastAsia="Arial" w:hAnsi="Arial"/>
                <w:sz w:val="18"/>
                <w:szCs w:val="18"/>
                <w:color w:val="auto"/>
              </w:rPr>
              <w:t>Research and development expenses</w:t>
            </w:r>
          </w:p>
        </w:tc>
        <w:tc>
          <w:tcPr>
            <w:tcW w:w="180" w:type="dxa"/>
            <w:vAlign w:val="bottom"/>
          </w:tcPr>
          <w:p>
            <w:pPr>
              <w:spacing w:after="0"/>
              <w:rPr>
                <w:sz w:val="18"/>
                <w:szCs w:val="18"/>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0.8</w:t>
            </w: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b w:val="1"/>
                <w:bCs w:val="1"/>
                <w:color w:val="auto"/>
              </w:rPr>
              <w:t>0.2</w:t>
            </w: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1.0</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b w:val="1"/>
                <w:bCs w:val="1"/>
                <w:color w:val="auto"/>
              </w:rPr>
              <w:t>0.3</w:t>
            </w:r>
          </w:p>
        </w:tc>
        <w:tc>
          <w:tcPr>
            <w:tcW w:w="100" w:type="dxa"/>
            <w:vAlign w:val="bottom"/>
          </w:tcPr>
          <w:p>
            <w:pPr>
              <w:spacing w:after="0"/>
              <w:rPr>
                <w:sz w:val="18"/>
                <w:szCs w:val="18"/>
                <w:color w:val="auto"/>
              </w:rPr>
            </w:pPr>
          </w:p>
        </w:tc>
      </w:tr>
      <w:tr>
        <w:trPr>
          <w:trHeight w:val="216"/>
        </w:trPr>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Selling and administrative expenses</w:t>
            </w:r>
          </w:p>
        </w:tc>
        <w:tc>
          <w:tcPr>
            <w:tcW w:w="1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0.4</w:t>
            </w: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0.3</w:t>
            </w: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b w:val="1"/>
                <w:bCs w:val="1"/>
                <w:color w:val="auto"/>
              </w:rPr>
              <w:t>0.9</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w:t>
            </w:r>
          </w:p>
        </w:tc>
        <w:tc>
          <w:tcPr>
            <w:tcW w:w="100" w:type="dxa"/>
            <w:vAlign w:val="bottom"/>
            <w:shd w:val="clear" w:color="auto" w:fill="CCEEFF"/>
          </w:tcPr>
          <w:p>
            <w:pPr>
              <w:spacing w:after="0"/>
              <w:rPr>
                <w:sz w:val="18"/>
                <w:szCs w:val="18"/>
                <w:color w:val="auto"/>
              </w:rPr>
            </w:pPr>
          </w:p>
        </w:tc>
      </w:tr>
      <w:tr>
        <w:trPr>
          <w:trHeight w:val="223"/>
        </w:trPr>
        <w:tc>
          <w:tcPr>
            <w:tcW w:w="5400" w:type="dxa"/>
            <w:vAlign w:val="bottom"/>
          </w:tcPr>
          <w:p>
            <w:pPr>
              <w:spacing w:after="0"/>
              <w:rPr>
                <w:sz w:val="20"/>
                <w:szCs w:val="20"/>
                <w:color w:val="auto"/>
              </w:rPr>
            </w:pPr>
            <w:r>
              <w:rPr>
                <w:rFonts w:ascii="Arial" w:cs="Arial" w:eastAsia="Arial" w:hAnsi="Arial"/>
                <w:sz w:val="18"/>
                <w:szCs w:val="18"/>
                <w:color w:val="auto"/>
              </w:rPr>
              <w:t>Total share-based compensation expense</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w:t>
            </w:r>
          </w:p>
        </w:tc>
        <w:tc>
          <w:tcPr>
            <w:tcW w:w="20" w:type="dxa"/>
            <w:vAlign w:val="bottom"/>
            <w:tcBorders>
              <w:bottom w:val="single" w:sz="8" w:color="auto"/>
            </w:tcBorders>
          </w:tcPr>
          <w:p>
            <w:pPr>
              <w:spacing w:after="0"/>
              <w:rPr>
                <w:sz w:val="19"/>
                <w:szCs w:val="19"/>
                <w:color w:val="auto"/>
              </w:rPr>
            </w:pPr>
          </w:p>
        </w:tc>
        <w:tc>
          <w:tcPr>
            <w:tcW w:w="7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0.5</w:t>
            </w:r>
          </w:p>
        </w:tc>
        <w:tc>
          <w:tcPr>
            <w:tcW w:w="7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5"/>
                <w:szCs w:val="15"/>
                <w:b w:val="1"/>
                <w:bCs w:val="1"/>
                <w:color w:val="auto"/>
                <w:w w:val="71"/>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2.1</w:t>
            </w:r>
          </w:p>
        </w:tc>
        <w:tc>
          <w:tcPr>
            <w:tcW w:w="3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1.6</w:t>
            </w:r>
          </w:p>
        </w:tc>
        <w:tc>
          <w:tcPr>
            <w:tcW w:w="100" w:type="dxa"/>
            <w:vAlign w:val="bottom"/>
          </w:tcPr>
          <w:p>
            <w:pPr>
              <w:spacing w:after="0"/>
              <w:rPr>
                <w:sz w:val="19"/>
                <w:szCs w:val="19"/>
                <w:color w:val="auto"/>
              </w:rPr>
            </w:pPr>
          </w:p>
        </w:tc>
      </w:tr>
      <w:tr>
        <w:trPr>
          <w:trHeight w:val="20"/>
        </w:trPr>
        <w:tc>
          <w:tcPr>
            <w:tcW w:w="54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right="100" w:firstLine="456"/>
        <w:spacing w:after="0" w:line="290" w:lineRule="auto"/>
        <w:rPr>
          <w:sz w:val="20"/>
          <w:szCs w:val="20"/>
          <w:color w:val="auto"/>
        </w:rPr>
      </w:pPr>
      <w:r>
        <w:rPr>
          <w:rFonts w:ascii="Arial" w:cs="Arial" w:eastAsia="Arial" w:hAnsi="Arial"/>
          <w:sz w:val="16"/>
          <w:szCs w:val="16"/>
          <w:color w:val="auto"/>
        </w:rPr>
        <w:t>During the second quarter of fiscal 2011, we granted options to purchase 894,580 shares of our common stock, 396,994 shares of restricted stock, 50,296 shares of restricted stock units, 811,150 shares of performance share awards, and 202,802 shares of performance share units to employees under our 2007 Stock Equity Plan. In August 2010, our Board of Directors approved a New Product Development Incentive Plan (“PDIP”) to make a one-time grant of performance share awards and units to employees related to several product development projects. During the second quarter of fiscal 2011, we granted 414,156 shares of performance share award and 152,506 shares of performance share unit under the PDIP, of which 109,475 shares of performance share awards and 43,436 shares of performance share units were vested upon achievement of a new product development milestone during the quarter. The PDIP performance shares are under our 2007 Stock Equity Plan. There were no share-based awards granted during the first quarter of fiscal 2011.</w:t>
      </w:r>
    </w:p>
    <w:p>
      <w:pPr>
        <w:spacing w:after="0" w:line="118"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The fair value of each share subject to an option grant was estimated on the date of grant using the Black-Scholes-Merton option-pricing model based on the following weighted average assumptions:</w:t>
      </w:r>
    </w:p>
    <w:p>
      <w:pPr>
        <w:spacing w:after="0" w:line="168"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0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940" w:type="dxa"/>
            <w:vAlign w:val="bottom"/>
            <w:gridSpan w:val="4"/>
          </w:tcPr>
          <w:p>
            <w:pPr>
              <w:jc w:val="right"/>
              <w:ind w:right="1480"/>
              <w:spacing w:after="0"/>
              <w:rPr>
                <w:sz w:val="20"/>
                <w:szCs w:val="20"/>
                <w:color w:val="auto"/>
              </w:rPr>
            </w:pPr>
            <w:r>
              <w:rPr>
                <w:rFonts w:ascii="Arial" w:cs="Arial" w:eastAsia="Arial" w:hAnsi="Arial"/>
                <w:sz w:val="14"/>
                <w:szCs w:val="14"/>
                <w:b w:val="1"/>
                <w:bCs w:val="1"/>
                <w:color w:val="auto"/>
              </w:rPr>
              <w:t>Quarter Ended</w:t>
            </w:r>
          </w:p>
        </w:tc>
        <w:tc>
          <w:tcPr>
            <w:tcW w:w="180" w:type="dxa"/>
            <w:vAlign w:val="bottom"/>
          </w:tcPr>
          <w:p>
            <w:pPr>
              <w:spacing w:after="0"/>
              <w:rPr>
                <w:sz w:val="14"/>
                <w:szCs w:val="14"/>
                <w:color w:val="auto"/>
              </w:rPr>
            </w:pPr>
          </w:p>
        </w:tc>
        <w:tc>
          <w:tcPr>
            <w:tcW w:w="2420" w:type="dxa"/>
            <w:vAlign w:val="bottom"/>
            <w:gridSpan w:val="5"/>
          </w:tcPr>
          <w:p>
            <w:pPr>
              <w:jc w:val="right"/>
              <w:ind w:right="800"/>
              <w:spacing w:after="0"/>
              <w:rPr>
                <w:sz w:val="20"/>
                <w:szCs w:val="20"/>
                <w:color w:val="auto"/>
              </w:rPr>
            </w:pPr>
            <w:r>
              <w:rPr>
                <w:rFonts w:ascii="Arial" w:cs="Arial" w:eastAsia="Arial" w:hAnsi="Arial"/>
                <w:sz w:val="14"/>
                <w:szCs w:val="14"/>
                <w:b w:val="1"/>
                <w:bCs w:val="1"/>
                <w:color w:val="auto"/>
              </w:rPr>
              <w:t>Two Quarters Ended</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0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540" w:type="dxa"/>
            <w:vAlign w:val="bottom"/>
            <w:tcBorders>
              <w:top w:val="single" w:sz="8" w:color="auto"/>
            </w:tcBorders>
            <w:gridSpan w:val="3"/>
          </w:tcPr>
          <w:p>
            <w:pPr>
              <w:ind w:left="20"/>
              <w:spacing w:after="0" w:line="129" w:lineRule="exact"/>
              <w:rPr>
                <w:sz w:val="20"/>
                <w:szCs w:val="20"/>
                <w:color w:val="auto"/>
              </w:rPr>
            </w:pPr>
            <w:r>
              <w:rPr>
                <w:rFonts w:ascii="Arial" w:cs="Arial" w:eastAsia="Arial" w:hAnsi="Arial"/>
                <w:sz w:val="14"/>
                <w:szCs w:val="14"/>
                <w:b w:val="1"/>
                <w:bCs w:val="1"/>
                <w:color w:val="auto"/>
              </w:rPr>
              <w:t>December 31,</w:t>
            </w:r>
          </w:p>
        </w:tc>
        <w:tc>
          <w:tcPr>
            <w:tcW w:w="860" w:type="dxa"/>
            <w:vAlign w:val="bottom"/>
            <w:tcBorders>
              <w:top w:val="single" w:sz="8" w:color="auto"/>
            </w:tcBorders>
          </w:tcPr>
          <w:p>
            <w:pPr>
              <w:jc w:val="right"/>
              <w:ind w:right="38"/>
              <w:spacing w:after="0" w:line="129" w:lineRule="exact"/>
              <w:rPr>
                <w:sz w:val="20"/>
                <w:szCs w:val="20"/>
                <w:color w:val="auto"/>
              </w:rPr>
            </w:pPr>
            <w:r>
              <w:rPr>
                <w:rFonts w:ascii="Arial" w:cs="Arial" w:eastAsia="Arial" w:hAnsi="Arial"/>
                <w:sz w:val="14"/>
                <w:szCs w:val="14"/>
                <w:b w:val="1"/>
                <w:bCs w:val="1"/>
                <w:color w:val="auto"/>
              </w:rPr>
              <w:t>January 1,</w:t>
            </w:r>
          </w:p>
        </w:tc>
        <w:tc>
          <w:tcPr>
            <w:tcW w:w="720" w:type="dxa"/>
            <w:vAlign w:val="bottom"/>
          </w:tcPr>
          <w:p>
            <w:pPr>
              <w:spacing w:after="0"/>
              <w:rPr>
                <w:sz w:val="11"/>
                <w:szCs w:val="11"/>
                <w:color w:val="auto"/>
              </w:rPr>
            </w:pPr>
          </w:p>
        </w:tc>
        <w:tc>
          <w:tcPr>
            <w:tcW w:w="1240" w:type="dxa"/>
            <w:vAlign w:val="bottom"/>
            <w:tcBorders>
              <w:top w:val="single" w:sz="8" w:color="auto"/>
            </w:tcBorders>
            <w:gridSpan w:val="3"/>
          </w:tcPr>
          <w:p>
            <w:pPr>
              <w:ind w:left="20"/>
              <w:spacing w:after="0" w:line="129" w:lineRule="exact"/>
              <w:rPr>
                <w:sz w:val="20"/>
                <w:szCs w:val="20"/>
                <w:color w:val="auto"/>
              </w:rPr>
            </w:pPr>
            <w:r>
              <w:rPr>
                <w:rFonts w:ascii="Arial" w:cs="Arial" w:eastAsia="Arial" w:hAnsi="Arial"/>
                <w:sz w:val="14"/>
                <w:szCs w:val="14"/>
                <w:b w:val="1"/>
                <w:bCs w:val="1"/>
                <w:color w:val="auto"/>
              </w:rPr>
              <w:t>December 31,</w:t>
            </w:r>
          </w:p>
        </w:tc>
        <w:tc>
          <w:tcPr>
            <w:tcW w:w="300" w:type="dxa"/>
            <w:vAlign w:val="bottom"/>
            <w:tcBorders>
              <w:top w:val="single" w:sz="8" w:color="auto"/>
            </w:tcBorders>
          </w:tcPr>
          <w:p>
            <w:pPr>
              <w:spacing w:after="0"/>
              <w:rPr>
                <w:sz w:val="11"/>
                <w:szCs w:val="11"/>
                <w:color w:val="auto"/>
              </w:rPr>
            </w:pPr>
          </w:p>
        </w:tc>
        <w:tc>
          <w:tcPr>
            <w:tcW w:w="860" w:type="dxa"/>
            <w:vAlign w:val="bottom"/>
            <w:tcBorders>
              <w:top w:val="single" w:sz="8" w:color="auto"/>
            </w:tcBorders>
          </w:tcPr>
          <w:p>
            <w:pPr>
              <w:jc w:val="right"/>
              <w:ind w:right="52"/>
              <w:spacing w:after="0" w:line="129" w:lineRule="exact"/>
              <w:rPr>
                <w:sz w:val="20"/>
                <w:szCs w:val="20"/>
                <w:color w:val="auto"/>
              </w:rPr>
            </w:pPr>
            <w:r>
              <w:rPr>
                <w:rFonts w:ascii="Arial" w:cs="Arial" w:eastAsia="Arial" w:hAnsi="Arial"/>
                <w:sz w:val="14"/>
                <w:szCs w:val="14"/>
                <w:b w:val="1"/>
                <w:bCs w:val="1"/>
                <w:color w:val="auto"/>
              </w:rPr>
              <w:t>January 1,</w:t>
            </w: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3700" w:type="dxa"/>
            <w:vAlign w:val="bottom"/>
            <w:gridSpan w:val="3"/>
          </w:tcPr>
          <w:p>
            <w:pPr>
              <w:spacing w:after="0"/>
              <w:rPr>
                <w:sz w:val="20"/>
                <w:szCs w:val="20"/>
                <w:color w:val="auto"/>
              </w:rPr>
            </w:pPr>
            <w:r>
              <w:rPr>
                <w:rFonts w:ascii="Arial" w:cs="Arial" w:eastAsia="Arial" w:hAnsi="Arial"/>
                <w:sz w:val="14"/>
                <w:szCs w:val="14"/>
                <w:b w:val="1"/>
                <w:bCs w:val="1"/>
                <w:color w:val="auto"/>
              </w:rPr>
              <w:t>Grant Date</w:t>
            </w:r>
          </w:p>
        </w:tc>
        <w:tc>
          <w:tcPr>
            <w:tcW w:w="10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jc w:val="right"/>
              <w:ind w:right="178"/>
              <w:spacing w:after="0"/>
              <w:rPr>
                <w:sz w:val="20"/>
                <w:szCs w:val="20"/>
                <w:color w:val="auto"/>
              </w:rPr>
            </w:pPr>
            <w:r>
              <w:rPr>
                <w:rFonts w:ascii="Arial" w:cs="Arial" w:eastAsia="Arial" w:hAnsi="Arial"/>
                <w:sz w:val="14"/>
                <w:szCs w:val="14"/>
                <w:b w:val="1"/>
                <w:bCs w:val="1"/>
                <w:color w:val="auto"/>
              </w:rPr>
              <w:t>2010</w:t>
            </w:r>
          </w:p>
        </w:tc>
        <w:tc>
          <w:tcPr>
            <w:tcW w:w="740" w:type="dxa"/>
            <w:vAlign w:val="bottom"/>
          </w:tcPr>
          <w:p>
            <w:pPr>
              <w:spacing w:after="0"/>
              <w:rPr>
                <w:sz w:val="14"/>
                <w:szCs w:val="14"/>
                <w:color w:val="auto"/>
              </w:rPr>
            </w:pPr>
          </w:p>
        </w:tc>
        <w:tc>
          <w:tcPr>
            <w:tcW w:w="860" w:type="dxa"/>
            <w:vAlign w:val="bottom"/>
          </w:tcPr>
          <w:p>
            <w:pPr>
              <w:jc w:val="right"/>
              <w:ind w:right="218"/>
              <w:spacing w:after="0"/>
              <w:rPr>
                <w:sz w:val="20"/>
                <w:szCs w:val="20"/>
                <w:color w:val="auto"/>
              </w:rPr>
            </w:pPr>
            <w:r>
              <w:rPr>
                <w:rFonts w:ascii="Arial" w:cs="Arial" w:eastAsia="Arial" w:hAnsi="Arial"/>
                <w:sz w:val="14"/>
                <w:szCs w:val="14"/>
                <w:b w:val="1"/>
                <w:bCs w:val="1"/>
                <w:color w:val="auto"/>
              </w:rPr>
              <w:t>2010</w:t>
            </w: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jc w:val="right"/>
              <w:ind w:right="178"/>
              <w:spacing w:after="0"/>
              <w:rPr>
                <w:sz w:val="20"/>
                <w:szCs w:val="20"/>
                <w:color w:val="auto"/>
              </w:rPr>
            </w:pPr>
            <w:r>
              <w:rPr>
                <w:rFonts w:ascii="Arial" w:cs="Arial" w:eastAsia="Arial" w:hAnsi="Arial"/>
                <w:sz w:val="14"/>
                <w:szCs w:val="14"/>
                <w:b w:val="1"/>
                <w:bCs w:val="1"/>
                <w:color w:val="auto"/>
              </w:rPr>
              <w:t>2010</w:t>
            </w:r>
          </w:p>
        </w:tc>
        <w:tc>
          <w:tcPr>
            <w:tcW w:w="440" w:type="dxa"/>
            <w:vAlign w:val="bottom"/>
          </w:tcPr>
          <w:p>
            <w:pPr>
              <w:spacing w:after="0"/>
              <w:rPr>
                <w:sz w:val="14"/>
                <w:szCs w:val="14"/>
                <w:color w:val="auto"/>
              </w:rPr>
            </w:pPr>
          </w:p>
        </w:tc>
        <w:tc>
          <w:tcPr>
            <w:tcW w:w="1160" w:type="dxa"/>
            <w:vAlign w:val="bottom"/>
            <w:gridSpan w:val="2"/>
          </w:tcPr>
          <w:p>
            <w:pPr>
              <w:jc w:val="right"/>
              <w:ind w:right="232"/>
              <w:spacing w:after="0"/>
              <w:rPr>
                <w:sz w:val="20"/>
                <w:szCs w:val="20"/>
                <w:color w:val="auto"/>
              </w:rPr>
            </w:pPr>
            <w:r>
              <w:rPr>
                <w:rFonts w:ascii="Arial" w:cs="Arial" w:eastAsia="Arial" w:hAnsi="Arial"/>
                <w:sz w:val="14"/>
                <w:szCs w:val="14"/>
                <w:b w:val="1"/>
                <w:bCs w:val="1"/>
                <w:color w:val="auto"/>
              </w:rPr>
              <w:t>2010</w:t>
            </w: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3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Expected dividends</w:t>
            </w:r>
          </w:p>
        </w:tc>
        <w:tc>
          <w:tcPr>
            <w:tcW w:w="10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0.0%</w:t>
            </w:r>
          </w:p>
        </w:tc>
        <w:tc>
          <w:tcPr>
            <w:tcW w:w="15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0.0%</w:t>
            </w: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0.0%</w:t>
            </w:r>
          </w:p>
        </w:tc>
        <w:tc>
          <w:tcPr>
            <w:tcW w:w="13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gridSpan w:val="2"/>
          </w:tcPr>
          <w:p>
            <w:pPr>
              <w:spacing w:after="0"/>
              <w:rPr>
                <w:sz w:val="20"/>
                <w:szCs w:val="20"/>
                <w:color w:val="auto"/>
              </w:rPr>
            </w:pPr>
            <w:r>
              <w:rPr>
                <w:rFonts w:ascii="Arial" w:cs="Arial" w:eastAsia="Arial" w:hAnsi="Arial"/>
                <w:sz w:val="18"/>
                <w:szCs w:val="18"/>
                <w:color w:val="auto"/>
              </w:rPr>
              <w:t>Expected volatility</w:t>
            </w: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gridSpan w:val="2"/>
          </w:tcPr>
          <w:p>
            <w:pPr>
              <w:jc w:val="right"/>
              <w:ind w:right="580"/>
              <w:spacing w:after="0"/>
              <w:rPr>
                <w:sz w:val="20"/>
                <w:szCs w:val="20"/>
                <w:color w:val="auto"/>
              </w:rPr>
            </w:pPr>
            <w:r>
              <w:rPr>
                <w:rFonts w:ascii="Arial" w:cs="Arial" w:eastAsia="Arial" w:hAnsi="Arial"/>
                <w:sz w:val="18"/>
                <w:szCs w:val="18"/>
                <w:color w:val="auto"/>
              </w:rPr>
              <w:t>63.3%</w:t>
            </w:r>
          </w:p>
        </w:tc>
        <w:tc>
          <w:tcPr>
            <w:tcW w:w="1580" w:type="dxa"/>
            <w:vAlign w:val="bottom"/>
            <w:gridSpan w:val="2"/>
          </w:tcPr>
          <w:p>
            <w:pPr>
              <w:jc w:val="right"/>
              <w:ind w:right="580"/>
              <w:spacing w:after="0"/>
              <w:rPr>
                <w:sz w:val="20"/>
                <w:szCs w:val="20"/>
                <w:color w:val="auto"/>
              </w:rPr>
            </w:pPr>
            <w:r>
              <w:rPr>
                <w:rFonts w:ascii="Arial" w:cs="Arial" w:eastAsia="Arial" w:hAnsi="Arial"/>
                <w:sz w:val="18"/>
                <w:szCs w:val="18"/>
                <w:color w:val="auto"/>
              </w:rPr>
              <w:t>59.9-60.0%</w:t>
            </w:r>
          </w:p>
        </w:tc>
        <w:tc>
          <w:tcPr>
            <w:tcW w:w="180" w:type="dxa"/>
            <w:vAlign w:val="bottom"/>
          </w:tcPr>
          <w:p>
            <w:pPr>
              <w:spacing w:after="0"/>
              <w:rPr>
                <w:sz w:val="18"/>
                <w:szCs w:val="18"/>
                <w:color w:val="auto"/>
              </w:rPr>
            </w:pPr>
          </w:p>
        </w:tc>
        <w:tc>
          <w:tcPr>
            <w:tcW w:w="1060" w:type="dxa"/>
            <w:vAlign w:val="bottom"/>
            <w:gridSpan w:val="2"/>
          </w:tcPr>
          <w:p>
            <w:pPr>
              <w:jc w:val="right"/>
              <w:ind w:right="280"/>
              <w:spacing w:after="0"/>
              <w:rPr>
                <w:sz w:val="20"/>
                <w:szCs w:val="20"/>
                <w:color w:val="auto"/>
              </w:rPr>
            </w:pPr>
            <w:r>
              <w:rPr>
                <w:rFonts w:ascii="Arial" w:cs="Arial" w:eastAsia="Arial" w:hAnsi="Arial"/>
                <w:sz w:val="18"/>
                <w:szCs w:val="18"/>
                <w:color w:val="auto"/>
              </w:rPr>
              <w:t>63.3%</w:t>
            </w:r>
          </w:p>
        </w:tc>
        <w:tc>
          <w:tcPr>
            <w:tcW w:w="1360" w:type="dxa"/>
            <w:vAlign w:val="bottom"/>
            <w:gridSpan w:val="3"/>
          </w:tcPr>
          <w:p>
            <w:pPr>
              <w:jc w:val="right"/>
              <w:ind w:right="60"/>
              <w:spacing w:after="0"/>
              <w:rPr>
                <w:sz w:val="20"/>
                <w:szCs w:val="20"/>
                <w:color w:val="auto"/>
              </w:rPr>
            </w:pPr>
            <w:r>
              <w:rPr>
                <w:rFonts w:ascii="Arial" w:cs="Arial" w:eastAsia="Arial" w:hAnsi="Arial"/>
                <w:sz w:val="18"/>
                <w:szCs w:val="18"/>
                <w:color w:val="auto"/>
              </w:rPr>
              <w:t>59.7-60.0%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10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1.22%</w:t>
            </w:r>
          </w:p>
        </w:tc>
        <w:tc>
          <w:tcPr>
            <w:tcW w:w="15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2.25-2.33%</w:t>
            </w: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1.22%</w:t>
            </w:r>
          </w:p>
        </w:tc>
        <w:tc>
          <w:tcPr>
            <w:tcW w:w="13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2.25-2.42%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gridSpan w:val="2"/>
          </w:tcPr>
          <w:p>
            <w:pPr>
              <w:spacing w:after="0"/>
              <w:rPr>
                <w:sz w:val="20"/>
                <w:szCs w:val="20"/>
                <w:color w:val="auto"/>
              </w:rPr>
            </w:pPr>
            <w:r>
              <w:rPr>
                <w:rFonts w:ascii="Arial" w:cs="Arial" w:eastAsia="Arial" w:hAnsi="Arial"/>
                <w:sz w:val="18"/>
                <w:szCs w:val="18"/>
                <w:color w:val="auto"/>
              </w:rPr>
              <w:t>Expected term (years)</w:t>
            </w: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4.38</w:t>
            </w:r>
          </w:p>
        </w:tc>
        <w:tc>
          <w:tcPr>
            <w:tcW w:w="7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4.38</w:t>
            </w: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440"/>
              <w:spacing w:after="0"/>
              <w:rPr>
                <w:sz w:val="20"/>
                <w:szCs w:val="20"/>
                <w:color w:val="auto"/>
              </w:rPr>
            </w:pPr>
            <w:r>
              <w:rPr>
                <w:rFonts w:ascii="Arial" w:cs="Arial" w:eastAsia="Arial" w:hAnsi="Arial"/>
                <w:sz w:val="18"/>
                <w:szCs w:val="18"/>
                <w:color w:val="auto"/>
              </w:rPr>
              <w:t>4.38</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4.38</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Fair value per option on date of grant</w:t>
            </w:r>
          </w:p>
        </w:tc>
        <w:tc>
          <w:tcPr>
            <w:tcW w:w="1260" w:type="dxa"/>
            <w:vAlign w:val="bottom"/>
            <w:gridSpan w:val="2"/>
            <w:shd w:val="clear" w:color="auto" w:fill="CCEEFF"/>
          </w:tcPr>
          <w:p>
            <w:pPr>
              <w:ind w:left="108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w:t>
            </w:r>
          </w:p>
        </w:tc>
        <w:tc>
          <w:tcPr>
            <w:tcW w:w="7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w w:val="87"/>
              </w:rPr>
              <w:t>$2.98-$3.53</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2.21</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$2.98-$3.61</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54"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The fair value of each performance share is based on the closing price of our common stock on the date of grant and is amortized to compensation expense over its vesting period, if achievement of the performance conditions is considered probable. During the second quarter of fiscal 2011, we recorded share-based compensation expense of $0.8 million related to performance shares made under our new product development incentive plan. For performance share awards made under our fiscal year 2010 Long-Term Incentive Plan, we determined that the three-year cash flow target would probably not be achieved at the end of fiscal 2012. Accordingly, we recorded a credit to compensation expense of $0.4 million related to these awards.</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45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160" w:firstLine="456"/>
        <w:spacing w:after="0" w:line="298" w:lineRule="auto"/>
        <w:rPr>
          <w:sz w:val="20"/>
          <w:szCs w:val="20"/>
          <w:color w:val="auto"/>
        </w:rPr>
      </w:pPr>
      <w:r>
        <w:rPr>
          <w:rFonts w:ascii="Arial" w:cs="Arial" w:eastAsia="Arial" w:hAnsi="Arial"/>
          <w:sz w:val="16"/>
          <w:szCs w:val="16"/>
          <w:color w:val="auto"/>
        </w:rPr>
        <w:t>During the quarter ended January 1, 2010, we determined that the three-year performance period minimum threshold target for income from operations would not be achieved for performance share awards made under our fiscal year 2009 Long-Term Incentive Plan. The three-year performance period for these awards ends on July 1, 2011. We estimate that 60% of these awards will not vest and will be forfeited as of July 1, 2011. Accordingly, we recorded a credit to compensation expense of $0.6 million during the quarter ended January 1, 2010 related to these awards.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Major Customer and Business Segments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During the second quarter and first two quarters of fiscal 2011 and fiscal 2010, none of our customers accounted for 10% or more of revenue.</w:t>
      </w:r>
    </w:p>
    <w:p>
      <w:pPr>
        <w:spacing w:after="0" w:line="19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Revenue and loss before income taxes by segment are as follows: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0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60" w:type="dxa"/>
            <w:vAlign w:val="bottom"/>
            <w:gridSpan w:val="3"/>
          </w:tcPr>
          <w:p>
            <w:pPr>
              <w:ind w:left="400"/>
              <w:spacing w:after="0"/>
              <w:rPr>
                <w:sz w:val="20"/>
                <w:szCs w:val="20"/>
                <w:color w:val="auto"/>
              </w:rPr>
            </w:pPr>
            <w:r>
              <w:rPr>
                <w:rFonts w:ascii="Arial" w:cs="Arial" w:eastAsia="Arial" w:hAnsi="Arial"/>
                <w:sz w:val="14"/>
                <w:szCs w:val="14"/>
                <w:b w:val="1"/>
                <w:bCs w:val="1"/>
                <w:color w:val="auto"/>
                <w:w w:val="96"/>
              </w:rPr>
              <w:t>Quarter Ended</w:t>
            </w:r>
          </w:p>
        </w:tc>
        <w:tc>
          <w:tcPr>
            <w:tcW w:w="5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960" w:type="dxa"/>
            <w:vAlign w:val="bottom"/>
            <w:gridSpan w:val="6"/>
          </w:tcPr>
          <w:p>
            <w:pPr>
              <w:jc w:val="right"/>
              <w:ind w:right="438"/>
              <w:spacing w:after="0"/>
              <w:rPr>
                <w:sz w:val="20"/>
                <w:szCs w:val="20"/>
                <w:color w:val="auto"/>
              </w:rPr>
            </w:pPr>
            <w:r>
              <w:rPr>
                <w:rFonts w:ascii="Arial" w:cs="Arial" w:eastAsia="Arial" w:hAnsi="Arial"/>
                <w:sz w:val="14"/>
                <w:szCs w:val="14"/>
                <w:b w:val="1"/>
                <w:bCs w:val="1"/>
                <w:color w:val="auto"/>
              </w:rPr>
              <w:t>Two Quarters Ended</w:t>
            </w:r>
          </w:p>
        </w:tc>
        <w:tc>
          <w:tcPr>
            <w:tcW w:w="0" w:type="dxa"/>
            <w:vAlign w:val="bottom"/>
          </w:tcPr>
          <w:p>
            <w:pPr>
              <w:spacing w:after="0"/>
              <w:rPr>
                <w:sz w:val="1"/>
                <w:szCs w:val="1"/>
                <w:color w:val="auto"/>
              </w:rPr>
            </w:pPr>
          </w:p>
        </w:tc>
      </w:tr>
      <w:tr>
        <w:trPr>
          <w:trHeight w:val="129"/>
        </w:trPr>
        <w:tc>
          <w:tcPr>
            <w:tcW w:w="4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0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380" w:type="dxa"/>
            <w:vAlign w:val="bottom"/>
            <w:tcBorders>
              <w:top w:val="single" w:sz="8" w:color="auto"/>
            </w:tcBorders>
            <w:gridSpan w:val="3"/>
          </w:tcPr>
          <w:p>
            <w:pPr>
              <w:spacing w:after="0" w:line="129" w:lineRule="exact"/>
              <w:rPr>
                <w:sz w:val="20"/>
                <w:szCs w:val="20"/>
                <w:color w:val="auto"/>
              </w:rPr>
            </w:pPr>
            <w:r>
              <w:rPr>
                <w:rFonts w:ascii="Arial" w:cs="Arial" w:eastAsia="Arial" w:hAnsi="Arial"/>
                <w:sz w:val="14"/>
                <w:szCs w:val="14"/>
                <w:b w:val="1"/>
                <w:bCs w:val="1"/>
                <w:color w:val="auto"/>
              </w:rPr>
              <w:t>December 31,</w:t>
            </w:r>
          </w:p>
        </w:tc>
        <w:tc>
          <w:tcPr>
            <w:tcW w:w="620" w:type="dxa"/>
            <w:vAlign w:val="bottom"/>
            <w:tcBorders>
              <w:top w:val="single" w:sz="8" w:color="auto"/>
            </w:tcBorders>
            <w:gridSpan w:val="2"/>
          </w:tcPr>
          <w:p>
            <w:pPr>
              <w:spacing w:after="0" w:line="129" w:lineRule="exact"/>
              <w:rPr>
                <w:sz w:val="20"/>
                <w:szCs w:val="20"/>
                <w:color w:val="auto"/>
              </w:rPr>
            </w:pPr>
            <w:r>
              <w:rPr>
                <w:rFonts w:ascii="Arial" w:cs="Arial" w:eastAsia="Arial" w:hAnsi="Arial"/>
                <w:sz w:val="14"/>
                <w:szCs w:val="14"/>
                <w:b w:val="1"/>
                <w:bCs w:val="1"/>
                <w:color w:val="auto"/>
                <w:w w:val="86"/>
              </w:rPr>
              <w:t>January 1,</w:t>
            </w:r>
          </w:p>
        </w:tc>
        <w:tc>
          <w:tcPr>
            <w:tcW w:w="600" w:type="dxa"/>
            <w:vAlign w:val="bottom"/>
          </w:tcPr>
          <w:p>
            <w:pPr>
              <w:spacing w:after="0"/>
              <w:rPr>
                <w:sz w:val="11"/>
                <w:szCs w:val="11"/>
                <w:color w:val="auto"/>
              </w:rPr>
            </w:pPr>
          </w:p>
        </w:tc>
        <w:tc>
          <w:tcPr>
            <w:tcW w:w="1140" w:type="dxa"/>
            <w:vAlign w:val="bottom"/>
            <w:tcBorders>
              <w:top w:val="single" w:sz="8" w:color="auto"/>
            </w:tcBorders>
            <w:gridSpan w:val="3"/>
          </w:tcPr>
          <w:p>
            <w:pPr>
              <w:ind w:left="20"/>
              <w:spacing w:after="0" w:line="129" w:lineRule="exact"/>
              <w:rPr>
                <w:sz w:val="20"/>
                <w:szCs w:val="20"/>
                <w:color w:val="auto"/>
              </w:rPr>
            </w:pPr>
            <w:r>
              <w:rPr>
                <w:rFonts w:ascii="Arial" w:cs="Arial" w:eastAsia="Arial" w:hAnsi="Arial"/>
                <w:sz w:val="14"/>
                <w:szCs w:val="14"/>
                <w:b w:val="1"/>
                <w:bCs w:val="1"/>
                <w:color w:val="auto"/>
              </w:rPr>
              <w:t>December 31,</w:t>
            </w:r>
          </w:p>
        </w:tc>
        <w:tc>
          <w:tcPr>
            <w:tcW w:w="28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gridSpan w:val="2"/>
          </w:tcPr>
          <w:p>
            <w:pPr>
              <w:jc w:val="right"/>
              <w:spacing w:after="0" w:line="129" w:lineRule="exact"/>
              <w:rPr>
                <w:sz w:val="20"/>
                <w:szCs w:val="20"/>
                <w:color w:val="auto"/>
              </w:rPr>
            </w:pPr>
            <w:r>
              <w:rPr>
                <w:rFonts w:ascii="Arial" w:cs="Arial" w:eastAsia="Arial" w:hAnsi="Arial"/>
                <w:sz w:val="14"/>
                <w:szCs w:val="14"/>
                <w:b w:val="1"/>
                <w:bCs w:val="1"/>
                <w:color w:val="auto"/>
                <w:w w:val="83"/>
              </w:rPr>
              <w:t>January 1,</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4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0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97"/>
              <w:spacing w:after="0"/>
              <w:rPr>
                <w:sz w:val="20"/>
                <w:szCs w:val="20"/>
                <w:color w:val="auto"/>
              </w:rPr>
            </w:pPr>
            <w:r>
              <w:rPr>
                <w:rFonts w:ascii="Arial" w:cs="Arial" w:eastAsia="Arial" w:hAnsi="Arial"/>
                <w:sz w:val="14"/>
                <w:szCs w:val="14"/>
                <w:b w:val="1"/>
                <w:bCs w:val="1"/>
                <w:color w:val="auto"/>
              </w:rPr>
              <w:t>2010</w:t>
            </w:r>
          </w:p>
        </w:tc>
        <w:tc>
          <w:tcPr>
            <w:tcW w:w="6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97"/>
              <w:spacing w:after="0"/>
              <w:rPr>
                <w:sz w:val="20"/>
                <w:szCs w:val="20"/>
                <w:color w:val="auto"/>
              </w:rPr>
            </w:pPr>
            <w:r>
              <w:rPr>
                <w:rFonts w:ascii="Arial" w:cs="Arial" w:eastAsia="Arial" w:hAnsi="Arial"/>
                <w:sz w:val="14"/>
                <w:szCs w:val="14"/>
                <w:b w:val="1"/>
                <w:bCs w:val="1"/>
                <w:color w:val="auto"/>
                <w:w w:val="96"/>
              </w:rPr>
              <w:t>2010</w:t>
            </w:r>
          </w:p>
        </w:tc>
        <w:tc>
          <w:tcPr>
            <w:tcW w:w="6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77"/>
              <w:spacing w:after="0"/>
              <w:rPr>
                <w:sz w:val="20"/>
                <w:szCs w:val="20"/>
                <w:color w:val="auto"/>
              </w:rPr>
            </w:pPr>
            <w:r>
              <w:rPr>
                <w:rFonts w:ascii="Arial" w:cs="Arial" w:eastAsia="Arial" w:hAnsi="Arial"/>
                <w:sz w:val="14"/>
                <w:szCs w:val="14"/>
                <w:b w:val="1"/>
                <w:bCs w:val="1"/>
                <w:color w:val="auto"/>
              </w:rPr>
              <w:t>2010</w:t>
            </w:r>
          </w:p>
        </w:tc>
        <w:tc>
          <w:tcPr>
            <w:tcW w:w="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95"/>
              <w:spacing w:after="0"/>
              <w:rPr>
                <w:sz w:val="20"/>
                <w:szCs w:val="20"/>
                <w:color w:val="auto"/>
              </w:rPr>
            </w:pPr>
            <w:r>
              <w:rPr>
                <w:rFonts w:ascii="Arial" w:cs="Arial" w:eastAsia="Arial" w:hAnsi="Arial"/>
                <w:sz w:val="14"/>
                <w:szCs w:val="14"/>
                <w:b w:val="1"/>
                <w:bCs w:val="1"/>
                <w:color w:val="auto"/>
                <w:w w:val="96"/>
              </w:rPr>
              <w:t>2010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0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gridSpan w:val="3"/>
          </w:tcPr>
          <w:p>
            <w:pPr>
              <w:ind w:left="440"/>
              <w:spacing w:after="0" w:line="142" w:lineRule="exact"/>
              <w:rPr>
                <w:sz w:val="20"/>
                <w:szCs w:val="20"/>
                <w:color w:val="auto"/>
              </w:rPr>
            </w:pPr>
            <w:r>
              <w:rPr>
                <w:rFonts w:ascii="Arial" w:cs="Arial" w:eastAsia="Arial" w:hAnsi="Arial"/>
                <w:sz w:val="14"/>
                <w:szCs w:val="14"/>
                <w:b w:val="1"/>
                <w:bCs w:val="1"/>
                <w:color w:val="auto"/>
              </w:rPr>
              <w:t>(In millions)</w:t>
            </w:r>
          </w:p>
        </w:tc>
        <w:tc>
          <w:tcPr>
            <w:tcW w:w="6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7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Revenue</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740" w:type="dxa"/>
            <w:vAlign w:val="bottom"/>
            <w:gridSpan w:val="2"/>
          </w:tcPr>
          <w:p>
            <w:pPr>
              <w:ind w:left="440"/>
              <w:spacing w:after="0"/>
              <w:rPr>
                <w:sz w:val="20"/>
                <w:szCs w:val="20"/>
                <w:color w:val="auto"/>
              </w:rPr>
            </w:pPr>
            <w:r>
              <w:rPr>
                <w:rFonts w:ascii="Arial" w:cs="Arial" w:eastAsia="Arial" w:hAnsi="Arial"/>
                <w:sz w:val="18"/>
                <w:szCs w:val="18"/>
                <w:color w:val="auto"/>
              </w:rPr>
              <w:t>North America</w:t>
            </w:r>
          </w:p>
        </w:tc>
        <w:tc>
          <w:tcPr>
            <w:tcW w:w="160" w:type="dxa"/>
            <w:vAlign w:val="bottom"/>
            <w:gridSpan w:val="2"/>
          </w:tcPr>
          <w:p>
            <w:pPr>
              <w:spacing w:after="0"/>
              <w:rPr>
                <w:sz w:val="20"/>
                <w:szCs w:val="20"/>
                <w:color w:val="auto"/>
              </w:rPr>
            </w:pPr>
            <w:r>
              <w:rPr>
                <w:rFonts w:ascii="Arial" w:cs="Arial" w:eastAsia="Arial" w:hAnsi="Arial"/>
                <w:sz w:val="18"/>
                <w:szCs w:val="18"/>
                <w:b w:val="1"/>
                <w:bCs w:val="1"/>
                <w:color w:val="auto"/>
              </w:rPr>
              <w:t>$</w:t>
            </w:r>
          </w:p>
        </w:tc>
        <w:tc>
          <w:tcPr>
            <w:tcW w:w="640" w:type="dxa"/>
            <w:vAlign w:val="bottom"/>
          </w:tcPr>
          <w:p>
            <w:pPr>
              <w:jc w:val="right"/>
              <w:spacing w:after="0"/>
              <w:rPr>
                <w:sz w:val="20"/>
                <w:szCs w:val="20"/>
                <w:color w:val="auto"/>
              </w:rPr>
            </w:pPr>
            <w:r>
              <w:rPr>
                <w:rFonts w:ascii="Arial" w:cs="Arial" w:eastAsia="Arial" w:hAnsi="Arial"/>
                <w:sz w:val="18"/>
                <w:szCs w:val="18"/>
                <w:b w:val="1"/>
                <w:bCs w:val="1"/>
                <w:color w:val="auto"/>
              </w:rPr>
              <w:t>40.4</w:t>
            </w:r>
          </w:p>
        </w:tc>
        <w:tc>
          <w:tcPr>
            <w:tcW w:w="60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8"/>
                <w:szCs w:val="18"/>
                <w:b w:val="1"/>
                <w:bCs w:val="1"/>
                <w:color w:val="auto"/>
                <w:w w:val="99"/>
              </w:rPr>
              <w:t>$</w:t>
            </w: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rPr>
              <w:t>49.4</w:t>
            </w:r>
          </w:p>
        </w:tc>
        <w:tc>
          <w:tcPr>
            <w:tcW w:w="600" w:type="dxa"/>
            <w:vAlign w:val="bottom"/>
          </w:tcPr>
          <w:p>
            <w:pPr>
              <w:spacing w:after="0"/>
              <w:rPr>
                <w:sz w:val="18"/>
                <w:szCs w:val="18"/>
                <w:color w:val="auto"/>
              </w:rPr>
            </w:pPr>
          </w:p>
        </w:tc>
        <w:tc>
          <w:tcPr>
            <w:tcW w:w="180" w:type="dxa"/>
            <w:vAlign w:val="bottom"/>
          </w:tcPr>
          <w:p>
            <w:pPr>
              <w:spacing w:after="0"/>
              <w:rPr>
                <w:sz w:val="20"/>
                <w:szCs w:val="20"/>
                <w:color w:val="auto"/>
              </w:rPr>
            </w:pPr>
            <w:r>
              <w:rPr>
                <w:rFonts w:ascii="Arial" w:cs="Arial" w:eastAsia="Arial" w:hAnsi="Arial"/>
                <w:sz w:val="18"/>
                <w:szCs w:val="18"/>
                <w:b w:val="1"/>
                <w:bCs w:val="1"/>
                <w:color w:val="auto"/>
              </w:rPr>
              <w:t>$</w:t>
            </w:r>
          </w:p>
        </w:tc>
        <w:tc>
          <w:tcPr>
            <w:tcW w:w="96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76.1</w:t>
            </w:r>
          </w:p>
        </w:tc>
        <w:tc>
          <w:tcPr>
            <w:tcW w:w="40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600" w:type="dxa"/>
            <w:vAlign w:val="bottom"/>
            <w:gridSpan w:val="2"/>
          </w:tcPr>
          <w:p>
            <w:pPr>
              <w:jc w:val="right"/>
              <w:ind w:right="18"/>
              <w:spacing w:after="0"/>
              <w:rPr>
                <w:sz w:val="20"/>
                <w:szCs w:val="20"/>
                <w:color w:val="auto"/>
              </w:rPr>
            </w:pPr>
            <w:r>
              <w:rPr>
                <w:rFonts w:ascii="Arial" w:cs="Arial" w:eastAsia="Arial" w:hAnsi="Arial"/>
                <w:sz w:val="18"/>
                <w:szCs w:val="18"/>
                <w:b w:val="1"/>
                <w:bCs w:val="1"/>
                <w:color w:val="auto"/>
              </w:rPr>
              <w:t>97.4</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7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International</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83.8</w:t>
            </w: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73.2</w:t>
            </w: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b w:val="1"/>
                <w:bCs w:val="1"/>
                <w:color w:val="auto"/>
              </w:rPr>
              <w:t>157.2</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8"/>
              <w:spacing w:after="0"/>
              <w:rPr>
                <w:sz w:val="20"/>
                <w:szCs w:val="20"/>
                <w:color w:val="auto"/>
              </w:rPr>
            </w:pPr>
            <w:r>
              <w:rPr>
                <w:rFonts w:ascii="Arial" w:cs="Arial" w:eastAsia="Arial" w:hAnsi="Arial"/>
                <w:sz w:val="18"/>
                <w:szCs w:val="18"/>
                <w:b w:val="1"/>
                <w:bCs w:val="1"/>
                <w:color w:val="auto"/>
              </w:rPr>
              <w:t>145.2</w:t>
            </w:r>
          </w:p>
        </w:tc>
        <w:tc>
          <w:tcPr>
            <w:tcW w:w="0" w:type="dxa"/>
            <w:vAlign w:val="bottom"/>
          </w:tcPr>
          <w:p>
            <w:pPr>
              <w:spacing w:after="0"/>
              <w:rPr>
                <w:sz w:val="1"/>
                <w:szCs w:val="1"/>
                <w:color w:val="auto"/>
              </w:rPr>
            </w:pPr>
          </w:p>
        </w:tc>
      </w:tr>
      <w:tr>
        <w:trPr>
          <w:trHeight w:val="223"/>
        </w:trPr>
        <w:tc>
          <w:tcPr>
            <w:tcW w:w="6200" w:type="dxa"/>
            <w:vAlign w:val="bottom"/>
            <w:gridSpan w:val="3"/>
          </w:tcPr>
          <w:p>
            <w:pPr>
              <w:ind w:left="460"/>
              <w:spacing w:after="0"/>
              <w:rPr>
                <w:sz w:val="20"/>
                <w:szCs w:val="20"/>
                <w:color w:val="auto"/>
              </w:rPr>
            </w:pPr>
            <w:r>
              <w:rPr>
                <w:rFonts w:ascii="Arial" w:cs="Arial" w:eastAsia="Arial" w:hAnsi="Arial"/>
                <w:sz w:val="18"/>
                <w:szCs w:val="18"/>
                <w:color w:val="auto"/>
              </w:rPr>
              <w:t>Total Revenue</w:t>
            </w:r>
          </w:p>
        </w:tc>
        <w:tc>
          <w:tcPr>
            <w:tcW w:w="2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124.2</w:t>
            </w:r>
          </w:p>
        </w:tc>
        <w:tc>
          <w:tcPr>
            <w:tcW w:w="60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w w:val="99"/>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122.6</w:t>
            </w:r>
          </w:p>
        </w:tc>
        <w:tc>
          <w:tcPr>
            <w:tcW w:w="60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233.3</w:t>
            </w: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242.6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460" w:type="dxa"/>
            <w:vAlign w:val="bottom"/>
            <w:vMerge w:val="restart"/>
          </w:tcPr>
          <w:p>
            <w:pPr>
              <w:spacing w:after="0"/>
              <w:rPr>
                <w:sz w:val="8"/>
                <w:szCs w:val="8"/>
                <w:color w:val="auto"/>
              </w:rPr>
            </w:pPr>
          </w:p>
        </w:tc>
        <w:tc>
          <w:tcPr>
            <w:tcW w:w="700" w:type="dxa"/>
            <w:vAlign w:val="bottom"/>
          </w:tcPr>
          <w:p>
            <w:pPr>
              <w:spacing w:after="0"/>
              <w:rPr>
                <w:sz w:val="8"/>
                <w:szCs w:val="8"/>
                <w:color w:val="auto"/>
              </w:rPr>
            </w:pPr>
          </w:p>
        </w:tc>
        <w:tc>
          <w:tcPr>
            <w:tcW w:w="504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0" w:type="dxa"/>
            <w:vAlign w:val="bottom"/>
          </w:tcPr>
          <w:p>
            <w:pPr>
              <w:spacing w:after="0"/>
              <w:rPr>
                <w:sz w:val="8"/>
                <w:szCs w:val="8"/>
                <w:color w:val="auto"/>
              </w:rPr>
            </w:pPr>
          </w:p>
        </w:tc>
        <w:tc>
          <w:tcPr>
            <w:tcW w:w="180" w:type="dxa"/>
            <w:vAlign w:val="bottom"/>
          </w:tcPr>
          <w:p>
            <w:pPr>
              <w:spacing w:after="0"/>
              <w:rPr>
                <w:sz w:val="8"/>
                <w:szCs w:val="8"/>
                <w:color w:val="auto"/>
              </w:rPr>
            </w:pPr>
          </w:p>
        </w:tc>
        <w:tc>
          <w:tcPr>
            <w:tcW w:w="620" w:type="dxa"/>
            <w:vAlign w:val="bottom"/>
          </w:tcPr>
          <w:p>
            <w:pPr>
              <w:spacing w:after="0"/>
              <w:rPr>
                <w:sz w:val="8"/>
                <w:szCs w:val="8"/>
                <w:color w:val="auto"/>
              </w:rPr>
            </w:pPr>
          </w:p>
        </w:tc>
        <w:tc>
          <w:tcPr>
            <w:tcW w:w="340" w:type="dxa"/>
            <w:vAlign w:val="bottom"/>
          </w:tcPr>
          <w:p>
            <w:pPr>
              <w:spacing w:after="0"/>
              <w:rPr>
                <w:sz w:val="8"/>
                <w:szCs w:val="8"/>
                <w:color w:val="auto"/>
              </w:rPr>
            </w:pPr>
          </w:p>
        </w:tc>
        <w:tc>
          <w:tcPr>
            <w:tcW w:w="2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460" w:type="dxa"/>
            <w:vAlign w:val="bottom"/>
            <w:vMerge w:val="continue"/>
          </w:tcPr>
          <w:p>
            <w:pPr>
              <w:spacing w:after="0"/>
              <w:rPr>
                <w:sz w:val="18"/>
                <w:szCs w:val="18"/>
                <w:color w:val="auto"/>
              </w:rPr>
            </w:pPr>
          </w:p>
        </w:tc>
        <w:tc>
          <w:tcPr>
            <w:tcW w:w="57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Loss Before Income Taxes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740" w:type="dxa"/>
            <w:vAlign w:val="bottom"/>
            <w:gridSpan w:val="2"/>
          </w:tcPr>
          <w:p>
            <w:pPr>
              <w:spacing w:after="0"/>
              <w:rPr>
                <w:sz w:val="20"/>
                <w:szCs w:val="20"/>
                <w:color w:val="auto"/>
              </w:rPr>
            </w:pPr>
            <w:r>
              <w:rPr>
                <w:rFonts w:ascii="Arial" w:cs="Arial" w:eastAsia="Arial" w:hAnsi="Arial"/>
                <w:sz w:val="18"/>
                <w:szCs w:val="18"/>
                <w:color w:val="auto"/>
              </w:rPr>
              <w:t>Segment Operating (Loss) Income:</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7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North America (1)</w:t>
            </w:r>
          </w:p>
        </w:tc>
        <w:tc>
          <w:tcPr>
            <w:tcW w:w="1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12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b w:val="1"/>
                <w:bCs w:val="1"/>
                <w:color w:val="auto"/>
              </w:rPr>
              <w:t>(1.3)</w:t>
            </w:r>
          </w:p>
        </w:tc>
        <w:tc>
          <w:tcPr>
            <w:tcW w:w="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9"/>
              </w:rPr>
              <w:t>$</w:t>
            </w:r>
          </w:p>
        </w:tc>
        <w:tc>
          <w:tcPr>
            <w:tcW w:w="1100" w:type="dxa"/>
            <w:vAlign w:val="bottom"/>
            <w:gridSpan w:val="2"/>
            <w:shd w:val="clear" w:color="auto" w:fill="CCEEFF"/>
          </w:tcPr>
          <w:p>
            <w:pPr>
              <w:jc w:val="right"/>
              <w:ind w:right="458"/>
              <w:spacing w:after="0"/>
              <w:rPr>
                <w:sz w:val="20"/>
                <w:szCs w:val="20"/>
                <w:color w:val="auto"/>
              </w:rPr>
            </w:pPr>
            <w:r>
              <w:rPr>
                <w:rFonts w:ascii="Arial" w:cs="Arial" w:eastAsia="Arial" w:hAnsi="Arial"/>
                <w:sz w:val="18"/>
                <w:szCs w:val="18"/>
                <w:b w:val="1"/>
                <w:bCs w:val="1"/>
                <w:color w:val="auto"/>
              </w:rPr>
              <w:t>(9.6)</w:t>
            </w:r>
          </w:p>
        </w:tc>
        <w:tc>
          <w:tcPr>
            <w:tcW w:w="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9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(14.7)</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(12.8)</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740" w:type="dxa"/>
            <w:vAlign w:val="bottom"/>
            <w:gridSpan w:val="2"/>
          </w:tcPr>
          <w:p>
            <w:pPr>
              <w:ind w:left="440"/>
              <w:spacing w:after="0"/>
              <w:rPr>
                <w:sz w:val="20"/>
                <w:szCs w:val="20"/>
                <w:color w:val="auto"/>
              </w:rPr>
            </w:pPr>
            <w:r>
              <w:rPr>
                <w:rFonts w:ascii="Arial" w:cs="Arial" w:eastAsia="Arial" w:hAnsi="Arial"/>
                <w:sz w:val="18"/>
                <w:szCs w:val="18"/>
                <w:color w:val="auto"/>
              </w:rPr>
              <w:t>International (2)</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560"/>
              <w:spacing w:after="0"/>
              <w:rPr>
                <w:sz w:val="20"/>
                <w:szCs w:val="20"/>
                <w:color w:val="auto"/>
              </w:rPr>
            </w:pPr>
            <w:r>
              <w:rPr>
                <w:rFonts w:ascii="Arial" w:cs="Arial" w:eastAsia="Arial" w:hAnsi="Arial"/>
                <w:sz w:val="18"/>
                <w:szCs w:val="18"/>
                <w:b w:val="1"/>
                <w:bCs w:val="1"/>
                <w:color w:val="auto"/>
              </w:rPr>
              <w:t>(5.2)</w:t>
            </w: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rPr>
              <w:t>3.4</w:t>
            </w: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(18.1)</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gridSpan w:val="2"/>
          </w:tcPr>
          <w:p>
            <w:pPr>
              <w:jc w:val="right"/>
              <w:ind w:right="18"/>
              <w:spacing w:after="0"/>
              <w:rPr>
                <w:sz w:val="20"/>
                <w:szCs w:val="20"/>
                <w:color w:val="auto"/>
              </w:rPr>
            </w:pPr>
            <w:r>
              <w:rPr>
                <w:rFonts w:ascii="Arial" w:cs="Arial" w:eastAsia="Arial" w:hAnsi="Arial"/>
                <w:sz w:val="18"/>
                <w:szCs w:val="18"/>
                <w:b w:val="1"/>
                <w:bCs w:val="1"/>
                <w:color w:val="auto"/>
              </w:rPr>
              <w:t>0.2</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interest expense</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b w:val="1"/>
                <w:bCs w:val="1"/>
                <w:color w:val="auto"/>
              </w:rPr>
              <w:t>(0.7)</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58"/>
              <w:spacing w:after="0"/>
              <w:rPr>
                <w:sz w:val="20"/>
                <w:szCs w:val="20"/>
                <w:color w:val="auto"/>
              </w:rPr>
            </w:pPr>
            <w:r>
              <w:rPr>
                <w:rFonts w:ascii="Arial" w:cs="Arial" w:eastAsia="Arial" w:hAnsi="Arial"/>
                <w:sz w:val="18"/>
                <w:szCs w:val="18"/>
                <w:b w:val="1"/>
                <w:bCs w:val="1"/>
                <w:color w:val="auto"/>
              </w:rPr>
              <w:t>(0.3)</w:t>
            </w: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(1.2)</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(0.8)</w:t>
            </w:r>
          </w:p>
        </w:tc>
        <w:tc>
          <w:tcPr>
            <w:tcW w:w="0" w:type="dxa"/>
            <w:vAlign w:val="bottom"/>
          </w:tcPr>
          <w:p>
            <w:pPr>
              <w:spacing w:after="0"/>
              <w:rPr>
                <w:sz w:val="1"/>
                <w:szCs w:val="1"/>
                <w:color w:val="auto"/>
              </w:rPr>
            </w:pPr>
          </w:p>
        </w:tc>
      </w:tr>
      <w:tr>
        <w:trPr>
          <w:trHeight w:val="20"/>
        </w:trPr>
        <w:tc>
          <w:tcPr>
            <w:tcW w:w="6200" w:type="dxa"/>
            <w:vAlign w:val="bottom"/>
            <w:gridSpan w:val="3"/>
            <w:vMerge w:val="restart"/>
          </w:tcPr>
          <w:p>
            <w:pPr>
              <w:ind w:left="460"/>
              <w:spacing w:after="0"/>
              <w:rPr>
                <w:sz w:val="20"/>
                <w:szCs w:val="20"/>
                <w:color w:val="auto"/>
              </w:rPr>
            </w:pPr>
            <w:r>
              <w:rPr>
                <w:rFonts w:ascii="Arial" w:cs="Arial" w:eastAsia="Arial" w:hAnsi="Arial"/>
                <w:sz w:val="18"/>
                <w:szCs w:val="18"/>
                <w:color w:val="auto"/>
              </w:rPr>
              <w:t>Loss before provision for income taxes</w:t>
            </w:r>
          </w:p>
        </w:tc>
        <w:tc>
          <w:tcPr>
            <w:tcW w:w="20" w:type="dxa"/>
            <w:vAlign w:val="bottom"/>
            <w:vMerge w:val="restart"/>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00" w:type="dxa"/>
            <w:vAlign w:val="bottom"/>
            <w:vMerge w:val="restart"/>
          </w:tcPr>
          <w:p>
            <w:pPr>
              <w:jc w:val="right"/>
              <w:ind w:right="458"/>
              <w:spacing w:after="0"/>
              <w:rPr>
                <w:sz w:val="20"/>
                <w:szCs w:val="20"/>
                <w:color w:val="auto"/>
              </w:rPr>
            </w:pPr>
            <w:r>
              <w:rPr>
                <w:rFonts w:ascii="Arial" w:cs="Arial" w:eastAsia="Arial" w:hAnsi="Arial"/>
                <w:sz w:val="16"/>
                <w:szCs w:val="16"/>
                <w:b w:val="1"/>
                <w:bCs w:val="1"/>
                <w:color w:val="auto"/>
                <w:w w:val="74"/>
              </w:rPr>
              <w:t>)</w:t>
            </w: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vMerge w:val="restart"/>
          </w:tcPr>
          <w:p>
            <w:pPr>
              <w:jc w:val="right"/>
              <w:spacing w:after="0"/>
              <w:rPr>
                <w:sz w:val="20"/>
                <w:szCs w:val="20"/>
                <w:color w:val="auto"/>
              </w:rPr>
            </w:pPr>
            <w:r>
              <w:rPr>
                <w:rFonts w:ascii="Arial" w:cs="Arial" w:eastAsia="Arial" w:hAnsi="Arial"/>
                <w:sz w:val="16"/>
                <w:szCs w:val="16"/>
                <w:b w:val="1"/>
                <w:bCs w:val="1"/>
                <w:color w:val="auto"/>
                <w:w w:val="74"/>
              </w:rPr>
              <w:t>)</w:t>
            </w:r>
          </w:p>
        </w:tc>
        <w:tc>
          <w:tcPr>
            <w:tcW w:w="0" w:type="dxa"/>
            <w:vAlign w:val="bottom"/>
          </w:tcPr>
          <w:p>
            <w:pPr>
              <w:spacing w:after="0" w:line="20" w:lineRule="exact"/>
              <w:rPr>
                <w:sz w:val="1"/>
                <w:szCs w:val="1"/>
                <w:color w:val="auto"/>
              </w:rPr>
            </w:pPr>
          </w:p>
        </w:tc>
      </w:tr>
      <w:tr>
        <w:trPr>
          <w:trHeight w:val="223"/>
        </w:trPr>
        <w:tc>
          <w:tcPr>
            <w:tcW w:w="6200" w:type="dxa"/>
            <w:vAlign w:val="bottom"/>
            <w:gridSpan w:val="3"/>
            <w:vMerge w:val="continue"/>
          </w:tcPr>
          <w:p>
            <w:pPr>
              <w:spacing w:after="0"/>
              <w:rPr>
                <w:sz w:val="19"/>
                <w:szCs w:val="19"/>
                <w:color w:val="auto"/>
              </w:rPr>
            </w:pPr>
          </w:p>
        </w:tc>
        <w:tc>
          <w:tcPr>
            <w:tcW w:w="20" w:type="dxa"/>
            <w:vAlign w:val="bottom"/>
            <w:vMerge w:val="continue"/>
          </w:tcPr>
          <w:p>
            <w:pPr>
              <w:spacing w:after="0"/>
              <w:rPr>
                <w:sz w:val="19"/>
                <w:szCs w:val="19"/>
                <w:color w:val="auto"/>
              </w:rPr>
            </w:pPr>
          </w:p>
        </w:tc>
        <w:tc>
          <w:tcPr>
            <w:tcW w:w="140" w:type="dxa"/>
            <w:vAlign w:val="bottom"/>
          </w:tcPr>
          <w:p>
            <w:pPr>
              <w:spacing w:after="0"/>
              <w:rPr>
                <w:sz w:val="20"/>
                <w:szCs w:val="20"/>
                <w:color w:val="auto"/>
              </w:rPr>
            </w:pPr>
            <w:r>
              <w:rPr>
                <w:rFonts w:ascii="Arial" w:cs="Arial" w:eastAsia="Arial" w:hAnsi="Arial"/>
                <w:sz w:val="18"/>
                <w:szCs w:val="18"/>
                <w:b w:val="1"/>
                <w:bCs w:val="1"/>
                <w:color w:val="auto"/>
              </w:rPr>
              <w:t>$</w:t>
            </w:r>
          </w:p>
        </w:tc>
        <w:tc>
          <w:tcPr>
            <w:tcW w:w="1240" w:type="dxa"/>
            <w:vAlign w:val="bottom"/>
            <w:gridSpan w:val="2"/>
          </w:tcPr>
          <w:p>
            <w:pPr>
              <w:jc w:val="right"/>
              <w:ind w:right="560"/>
              <w:spacing w:after="0"/>
              <w:rPr>
                <w:sz w:val="20"/>
                <w:szCs w:val="20"/>
                <w:color w:val="auto"/>
              </w:rPr>
            </w:pPr>
            <w:r>
              <w:rPr>
                <w:rFonts w:ascii="Arial" w:cs="Arial" w:eastAsia="Arial" w:hAnsi="Arial"/>
                <w:sz w:val="18"/>
                <w:szCs w:val="18"/>
                <w:b w:val="1"/>
                <w:bCs w:val="1"/>
                <w:color w:val="auto"/>
              </w:rPr>
              <w:t>(7.2)</w:t>
            </w:r>
          </w:p>
        </w:tc>
        <w:tc>
          <w:tcPr>
            <w:tcW w:w="120" w:type="dxa"/>
            <w:vAlign w:val="bottom"/>
          </w:tcPr>
          <w:p>
            <w:pPr>
              <w:spacing w:after="0"/>
              <w:rPr>
                <w:sz w:val="20"/>
                <w:szCs w:val="20"/>
                <w:color w:val="auto"/>
              </w:rPr>
            </w:pPr>
            <w:r>
              <w:rPr>
                <w:rFonts w:ascii="Arial" w:cs="Arial" w:eastAsia="Arial" w:hAnsi="Arial"/>
                <w:sz w:val="18"/>
                <w:szCs w:val="18"/>
                <w:b w:val="1"/>
                <w:bCs w:val="1"/>
                <w:color w:val="auto"/>
                <w:w w:val="99"/>
              </w:rPr>
              <w:t>$</w:t>
            </w: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rPr>
              <w:t>(6.5</w:t>
            </w:r>
          </w:p>
        </w:tc>
        <w:tc>
          <w:tcPr>
            <w:tcW w:w="600" w:type="dxa"/>
            <w:vAlign w:val="bottom"/>
            <w:vMerge w:val="continue"/>
          </w:tcPr>
          <w:p>
            <w:pPr>
              <w:spacing w:after="0"/>
              <w:rPr>
                <w:sz w:val="19"/>
                <w:szCs w:val="19"/>
                <w:color w:val="auto"/>
              </w:rPr>
            </w:pPr>
          </w:p>
        </w:tc>
        <w:tc>
          <w:tcPr>
            <w:tcW w:w="180" w:type="dxa"/>
            <w:vAlign w:val="bottom"/>
          </w:tcPr>
          <w:p>
            <w:pPr>
              <w:spacing w:after="0"/>
              <w:rPr>
                <w:sz w:val="20"/>
                <w:szCs w:val="20"/>
                <w:color w:val="auto"/>
              </w:rPr>
            </w:pPr>
            <w:r>
              <w:rPr>
                <w:rFonts w:ascii="Arial" w:cs="Arial" w:eastAsia="Arial" w:hAnsi="Arial"/>
                <w:sz w:val="18"/>
                <w:szCs w:val="18"/>
                <w:b w:val="1"/>
                <w:bCs w:val="1"/>
                <w:color w:val="auto"/>
              </w:rPr>
              <w:t>$</w:t>
            </w:r>
          </w:p>
        </w:tc>
        <w:tc>
          <w:tcPr>
            <w:tcW w:w="96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(34.0)</w:t>
            </w:r>
          </w:p>
        </w:tc>
        <w:tc>
          <w:tcPr>
            <w:tcW w:w="280" w:type="dxa"/>
            <w:vAlign w:val="bottom"/>
            <w:vMerge w:val="continue"/>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rPr>
              <w:t>(13.4</w:t>
            </w:r>
          </w:p>
        </w:tc>
        <w:tc>
          <w:tcPr>
            <w:tcW w:w="1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0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46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504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0" w:type="dxa"/>
            <w:vAlign w:val="bottom"/>
          </w:tcPr>
          <w:p>
            <w:pPr>
              <w:spacing w:after="0"/>
              <w:rPr>
                <w:sz w:val="8"/>
                <w:szCs w:val="8"/>
                <w:color w:val="auto"/>
              </w:rPr>
            </w:pPr>
          </w:p>
        </w:tc>
        <w:tc>
          <w:tcPr>
            <w:tcW w:w="180" w:type="dxa"/>
            <w:vAlign w:val="bottom"/>
          </w:tcPr>
          <w:p>
            <w:pPr>
              <w:spacing w:after="0"/>
              <w:rPr>
                <w:sz w:val="8"/>
                <w:szCs w:val="8"/>
                <w:color w:val="auto"/>
              </w:rPr>
            </w:pPr>
          </w:p>
        </w:tc>
        <w:tc>
          <w:tcPr>
            <w:tcW w:w="620" w:type="dxa"/>
            <w:vAlign w:val="bottom"/>
          </w:tcPr>
          <w:p>
            <w:pPr>
              <w:spacing w:after="0"/>
              <w:rPr>
                <w:sz w:val="8"/>
                <w:szCs w:val="8"/>
                <w:color w:val="auto"/>
              </w:rPr>
            </w:pPr>
          </w:p>
        </w:tc>
        <w:tc>
          <w:tcPr>
            <w:tcW w:w="340" w:type="dxa"/>
            <w:vAlign w:val="bottom"/>
          </w:tcPr>
          <w:p>
            <w:pPr>
              <w:spacing w:after="0"/>
              <w:rPr>
                <w:sz w:val="8"/>
                <w:szCs w:val="8"/>
                <w:color w:val="auto"/>
              </w:rPr>
            </w:pPr>
          </w:p>
        </w:tc>
        <w:tc>
          <w:tcPr>
            <w:tcW w:w="2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hanging="452"/>
        <w:spacing w:after="0" w:line="268" w:lineRule="auto"/>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following table summarizes certain charges and expenses included in the North America segment operating results during the second quarter and first two quarters of fiscal 2011 and fiscal 2010:</w:t>
      </w:r>
    </w:p>
    <w:p>
      <w:pPr>
        <w:spacing w:after="0" w:line="168"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54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Quarter Ended</w:t>
            </w:r>
          </w:p>
        </w:tc>
        <w:tc>
          <w:tcPr>
            <w:tcW w:w="14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7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Two Quarters Ended</w:t>
            </w:r>
          </w:p>
        </w:tc>
        <w:tc>
          <w:tcPr>
            <w:tcW w:w="4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5400" w:type="dxa"/>
            <w:vAlign w:val="bottom"/>
          </w:tcPr>
          <w:p>
            <w:pPr>
              <w:spacing w:after="0"/>
              <w:rPr>
                <w:sz w:val="11"/>
                <w:szCs w:val="11"/>
                <w:color w:val="auto"/>
              </w:rPr>
            </w:pPr>
          </w:p>
        </w:tc>
        <w:tc>
          <w:tcPr>
            <w:tcW w:w="1520" w:type="dxa"/>
            <w:vAlign w:val="bottom"/>
            <w:gridSpan w:val="3"/>
          </w:tcPr>
          <w:p>
            <w:pPr>
              <w:jc w:val="right"/>
              <w:ind w:right="720"/>
              <w:spacing w:after="0" w:line="129" w:lineRule="exact"/>
              <w:rPr>
                <w:sz w:val="20"/>
                <w:szCs w:val="20"/>
                <w:color w:val="auto"/>
              </w:rPr>
            </w:pPr>
            <w:r>
              <w:rPr>
                <w:rFonts w:ascii="Arial" w:cs="Arial" w:eastAsia="Arial" w:hAnsi="Arial"/>
                <w:sz w:val="14"/>
                <w:szCs w:val="14"/>
                <w:b w:val="1"/>
                <w:bCs w:val="1"/>
                <w:color w:val="auto"/>
                <w:w w:val="85"/>
              </w:rPr>
              <w:t>December 31,</w:t>
            </w:r>
          </w:p>
        </w:tc>
        <w:tc>
          <w:tcPr>
            <w:tcW w:w="620" w:type="dxa"/>
            <w:vAlign w:val="bottom"/>
            <w:gridSpan w:val="2"/>
          </w:tcPr>
          <w:p>
            <w:pPr>
              <w:jc w:val="right"/>
              <w:spacing w:after="0" w:line="129" w:lineRule="exact"/>
              <w:rPr>
                <w:sz w:val="20"/>
                <w:szCs w:val="20"/>
                <w:color w:val="auto"/>
              </w:rPr>
            </w:pPr>
            <w:r>
              <w:rPr>
                <w:rFonts w:ascii="Arial" w:cs="Arial" w:eastAsia="Arial" w:hAnsi="Arial"/>
                <w:sz w:val="14"/>
                <w:szCs w:val="14"/>
                <w:b w:val="1"/>
                <w:bCs w:val="1"/>
                <w:color w:val="auto"/>
                <w:w w:val="86"/>
              </w:rPr>
              <w:t>January 1,</w:t>
            </w:r>
          </w:p>
        </w:tc>
        <w:tc>
          <w:tcPr>
            <w:tcW w:w="720" w:type="dxa"/>
            <w:vAlign w:val="bottom"/>
          </w:tcPr>
          <w:p>
            <w:pPr>
              <w:spacing w:after="0"/>
              <w:rPr>
                <w:sz w:val="11"/>
                <w:szCs w:val="11"/>
                <w:color w:val="auto"/>
              </w:rPr>
            </w:pPr>
          </w:p>
        </w:tc>
        <w:tc>
          <w:tcPr>
            <w:tcW w:w="116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December 31,</w:t>
            </w:r>
          </w:p>
        </w:tc>
        <w:tc>
          <w:tcPr>
            <w:tcW w:w="360" w:type="dxa"/>
            <w:vAlign w:val="bottom"/>
          </w:tcPr>
          <w:p>
            <w:pPr>
              <w:spacing w:after="0"/>
              <w:rPr>
                <w:sz w:val="11"/>
                <w:szCs w:val="11"/>
                <w:color w:val="auto"/>
              </w:rPr>
            </w:pPr>
          </w:p>
        </w:tc>
        <w:tc>
          <w:tcPr>
            <w:tcW w:w="620" w:type="dxa"/>
            <w:vAlign w:val="bottom"/>
            <w:gridSpan w:val="2"/>
          </w:tcPr>
          <w:p>
            <w:pPr>
              <w:jc w:val="right"/>
              <w:spacing w:after="0" w:line="129" w:lineRule="exact"/>
              <w:rPr>
                <w:sz w:val="20"/>
                <w:szCs w:val="20"/>
                <w:color w:val="auto"/>
              </w:rPr>
            </w:pPr>
            <w:r>
              <w:rPr>
                <w:rFonts w:ascii="Arial" w:cs="Arial" w:eastAsia="Arial" w:hAnsi="Arial"/>
                <w:sz w:val="14"/>
                <w:szCs w:val="14"/>
                <w:b w:val="1"/>
                <w:bCs w:val="1"/>
                <w:color w:val="auto"/>
                <w:w w:val="86"/>
              </w:rPr>
              <w:t>January 1,</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54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77"/>
              <w:spacing w:after="0"/>
              <w:rPr>
                <w:sz w:val="20"/>
                <w:szCs w:val="20"/>
                <w:color w:val="auto"/>
              </w:rPr>
            </w:pPr>
            <w:r>
              <w:rPr>
                <w:rFonts w:ascii="Arial" w:cs="Arial" w:eastAsia="Arial" w:hAnsi="Arial"/>
                <w:sz w:val="14"/>
                <w:szCs w:val="14"/>
                <w:b w:val="1"/>
                <w:bCs w:val="1"/>
                <w:color w:val="auto"/>
              </w:rPr>
              <w:t>2010</w:t>
            </w:r>
          </w:p>
        </w:tc>
        <w:tc>
          <w:tcPr>
            <w:tcW w:w="7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95"/>
              <w:spacing w:after="0"/>
              <w:rPr>
                <w:sz w:val="20"/>
                <w:szCs w:val="20"/>
                <w:color w:val="auto"/>
              </w:rPr>
            </w:pPr>
            <w:r>
              <w:rPr>
                <w:rFonts w:ascii="Arial" w:cs="Arial" w:eastAsia="Arial" w:hAnsi="Arial"/>
                <w:sz w:val="14"/>
                <w:szCs w:val="14"/>
                <w:b w:val="1"/>
                <w:bCs w:val="1"/>
                <w:color w:val="auto"/>
                <w:w w:val="89"/>
              </w:rPr>
              <w:t>2010</w:t>
            </w:r>
          </w:p>
        </w:tc>
        <w:tc>
          <w:tcPr>
            <w:tcW w:w="7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77"/>
              <w:spacing w:after="0"/>
              <w:rPr>
                <w:sz w:val="20"/>
                <w:szCs w:val="20"/>
                <w:color w:val="auto"/>
              </w:rPr>
            </w:pPr>
            <w:r>
              <w:rPr>
                <w:rFonts w:ascii="Arial" w:cs="Arial" w:eastAsia="Arial" w:hAnsi="Arial"/>
                <w:sz w:val="14"/>
                <w:szCs w:val="14"/>
                <w:b w:val="1"/>
                <w:bCs w:val="1"/>
                <w:color w:val="auto"/>
              </w:rPr>
              <w:t>2010</w:t>
            </w:r>
          </w:p>
        </w:tc>
        <w:tc>
          <w:tcPr>
            <w:tcW w:w="3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ind w:right="75"/>
              <w:spacing w:after="0"/>
              <w:rPr>
                <w:sz w:val="20"/>
                <w:szCs w:val="20"/>
                <w:color w:val="auto"/>
              </w:rPr>
            </w:pPr>
            <w:r>
              <w:rPr>
                <w:rFonts w:ascii="Arial" w:cs="Arial" w:eastAsia="Arial" w:hAnsi="Arial"/>
                <w:sz w:val="14"/>
                <w:szCs w:val="14"/>
                <w:b w:val="1"/>
                <w:bCs w:val="1"/>
                <w:color w:val="auto"/>
                <w:w w:val="89"/>
              </w:rPr>
              <w:t>2010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720" w:type="dxa"/>
            <w:vAlign w:val="bottom"/>
          </w:tcPr>
          <w:p>
            <w:pPr>
              <w:ind w:left="20"/>
              <w:spacing w:after="0" w:line="142" w:lineRule="exact"/>
              <w:rPr>
                <w:sz w:val="20"/>
                <w:szCs w:val="20"/>
                <w:color w:val="auto"/>
              </w:rPr>
            </w:pPr>
            <w:r>
              <w:rPr>
                <w:rFonts w:ascii="Arial" w:cs="Arial" w:eastAsia="Arial" w:hAnsi="Arial"/>
                <w:sz w:val="14"/>
                <w:szCs w:val="14"/>
                <w:b w:val="1"/>
                <w:bCs w:val="1"/>
                <w:color w:val="auto"/>
                <w:w w:val="86"/>
              </w:rPr>
              <w:t>(In millions)</w:t>
            </w: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8"/>
        </w:trPr>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developed technology, trade names and customer</w:t>
            </w: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340" w:type="dxa"/>
            <w:vAlign w:val="bottom"/>
            <w:gridSpan w:val="2"/>
            <w:vMerge w:val="restart"/>
            <w:shd w:val="clear" w:color="auto" w:fill="CCEEFF"/>
          </w:tcPr>
          <w:p>
            <w:pPr>
              <w:jc w:val="right"/>
              <w:ind w:right="720"/>
              <w:spacing w:after="0"/>
              <w:rPr>
                <w:sz w:val="20"/>
                <w:szCs w:val="20"/>
                <w:color w:val="auto"/>
              </w:rPr>
            </w:pPr>
            <w:r>
              <w:rPr>
                <w:rFonts w:ascii="Arial" w:cs="Arial" w:eastAsia="Arial" w:hAnsi="Arial"/>
                <w:sz w:val="18"/>
                <w:szCs w:val="18"/>
                <w:b w:val="1"/>
                <w:bCs w:val="1"/>
                <w:color w:val="auto"/>
              </w:rPr>
              <w:t>0.8</w:t>
            </w: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48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3.3</w:t>
            </w:r>
          </w:p>
        </w:tc>
        <w:tc>
          <w:tcPr>
            <w:tcW w:w="900" w:type="dxa"/>
            <w:vAlign w:val="bottom"/>
            <w:gridSpan w:val="2"/>
            <w:vMerge w:val="restart"/>
            <w:shd w:val="clear" w:color="auto" w:fill="CCEEFF"/>
          </w:tcPr>
          <w:p>
            <w:pPr>
              <w:ind w:left="720"/>
              <w:spacing w:after="0"/>
              <w:rPr>
                <w:sz w:val="20"/>
                <w:szCs w:val="20"/>
                <w:color w:val="auto"/>
              </w:rPr>
            </w:pPr>
            <w:r>
              <w:rPr>
                <w:rFonts w:ascii="Arial" w:cs="Arial" w:eastAsia="Arial" w:hAnsi="Arial"/>
                <w:sz w:val="18"/>
                <w:szCs w:val="18"/>
                <w:b w:val="1"/>
                <w:bCs w:val="1"/>
                <w:color w:val="auto"/>
              </w:rPr>
              <w:t>$</w:t>
            </w:r>
          </w:p>
        </w:tc>
        <w:tc>
          <w:tcPr>
            <w:tcW w:w="980" w:type="dxa"/>
            <w:vAlign w:val="bottom"/>
            <w:gridSpan w:val="2"/>
            <w:vMerge w:val="restart"/>
            <w:shd w:val="clear" w:color="auto" w:fill="CCEEFF"/>
          </w:tcPr>
          <w:p>
            <w:pPr>
              <w:jc w:val="right"/>
              <w:ind w:right="360"/>
              <w:spacing w:after="0"/>
              <w:rPr>
                <w:sz w:val="20"/>
                <w:szCs w:val="20"/>
                <w:color w:val="auto"/>
              </w:rPr>
            </w:pPr>
            <w:r>
              <w:rPr>
                <w:rFonts w:ascii="Arial" w:cs="Arial" w:eastAsia="Arial" w:hAnsi="Arial"/>
                <w:sz w:val="18"/>
                <w:szCs w:val="18"/>
                <w:b w:val="1"/>
                <w:bCs w:val="1"/>
                <w:color w:val="auto"/>
              </w:rPr>
              <w:t>1.7</w:t>
            </w:r>
          </w:p>
        </w:tc>
        <w:tc>
          <w:tcPr>
            <w:tcW w:w="52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46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4.0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54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relationships</w:t>
            </w:r>
          </w:p>
        </w:tc>
        <w:tc>
          <w:tcPr>
            <w:tcW w:w="180" w:type="dxa"/>
            <w:vAlign w:val="bottom"/>
            <w:vMerge w:val="continue"/>
            <w:shd w:val="clear" w:color="auto" w:fill="CCEEFF"/>
          </w:tcPr>
          <w:p>
            <w:pPr>
              <w:spacing w:after="0"/>
              <w:rPr>
                <w:sz w:val="19"/>
                <w:szCs w:val="19"/>
                <w:color w:val="auto"/>
              </w:rPr>
            </w:pPr>
          </w:p>
        </w:tc>
        <w:tc>
          <w:tcPr>
            <w:tcW w:w="1340" w:type="dxa"/>
            <w:vAlign w:val="bottom"/>
            <w:gridSpan w:val="2"/>
            <w:vMerge w:val="continue"/>
            <w:shd w:val="clear" w:color="auto" w:fill="CCEEFF"/>
          </w:tcPr>
          <w:p>
            <w:pPr>
              <w:spacing w:after="0"/>
              <w:rPr>
                <w:sz w:val="19"/>
                <w:szCs w:val="19"/>
                <w:color w:val="auto"/>
              </w:rPr>
            </w:pPr>
          </w:p>
        </w:tc>
        <w:tc>
          <w:tcPr>
            <w:tcW w:w="140" w:type="dxa"/>
            <w:vAlign w:val="bottom"/>
            <w:vMerge w:val="continue"/>
            <w:shd w:val="clear" w:color="auto" w:fill="CCEEFF"/>
          </w:tcPr>
          <w:p>
            <w:pPr>
              <w:spacing w:after="0"/>
              <w:rPr>
                <w:sz w:val="19"/>
                <w:szCs w:val="19"/>
                <w:color w:val="auto"/>
              </w:rPr>
            </w:pPr>
          </w:p>
        </w:tc>
        <w:tc>
          <w:tcPr>
            <w:tcW w:w="480" w:type="dxa"/>
            <w:vAlign w:val="bottom"/>
            <w:vMerge w:val="continue"/>
            <w:shd w:val="clear" w:color="auto" w:fill="CCEEFF"/>
          </w:tcPr>
          <w:p>
            <w:pPr>
              <w:spacing w:after="0"/>
              <w:rPr>
                <w:sz w:val="19"/>
                <w:szCs w:val="19"/>
                <w:color w:val="auto"/>
              </w:rPr>
            </w:pPr>
          </w:p>
        </w:tc>
        <w:tc>
          <w:tcPr>
            <w:tcW w:w="900" w:type="dxa"/>
            <w:vAlign w:val="bottom"/>
            <w:gridSpan w:val="2"/>
            <w:vMerge w:val="continue"/>
            <w:shd w:val="clear" w:color="auto" w:fill="CCEEFF"/>
          </w:tcPr>
          <w:p>
            <w:pPr>
              <w:spacing w:after="0"/>
              <w:rPr>
                <w:sz w:val="19"/>
                <w:szCs w:val="19"/>
                <w:color w:val="auto"/>
              </w:rPr>
            </w:pPr>
          </w:p>
        </w:tc>
        <w:tc>
          <w:tcPr>
            <w:tcW w:w="980" w:type="dxa"/>
            <w:vAlign w:val="bottom"/>
            <w:gridSpan w:val="2"/>
            <w:vMerge w:val="continue"/>
            <w:shd w:val="clear" w:color="auto" w:fill="CCEEFF"/>
          </w:tcPr>
          <w:p>
            <w:pPr>
              <w:spacing w:after="0"/>
              <w:rPr>
                <w:sz w:val="19"/>
                <w:szCs w:val="19"/>
                <w:color w:val="auto"/>
              </w:rPr>
            </w:pPr>
          </w:p>
        </w:tc>
        <w:tc>
          <w:tcPr>
            <w:tcW w:w="520" w:type="dxa"/>
            <w:vAlign w:val="bottom"/>
            <w:gridSpan w:val="2"/>
            <w:vMerge w:val="continue"/>
            <w:shd w:val="clear" w:color="auto" w:fill="CCEEFF"/>
          </w:tcPr>
          <w:p>
            <w:pPr>
              <w:spacing w:after="0"/>
              <w:rPr>
                <w:sz w:val="19"/>
                <w:szCs w:val="19"/>
                <w:color w:val="auto"/>
              </w:rPr>
            </w:pPr>
          </w:p>
        </w:tc>
        <w:tc>
          <w:tcPr>
            <w:tcW w:w="4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400" w:type="dxa"/>
            <w:vAlign w:val="bottom"/>
          </w:tcPr>
          <w:p>
            <w:pPr>
              <w:spacing w:after="0"/>
              <w:rPr>
                <w:sz w:val="20"/>
                <w:szCs w:val="20"/>
                <w:color w:val="auto"/>
              </w:rPr>
            </w:pPr>
            <w:r>
              <w:rPr>
                <w:rFonts w:ascii="Arial" w:cs="Arial" w:eastAsia="Arial" w:hAnsi="Arial"/>
                <w:sz w:val="18"/>
                <w:szCs w:val="18"/>
                <w:color w:val="auto"/>
              </w:rPr>
              <w:t>Rebranding and transitional costs</w:t>
            </w:r>
          </w:p>
        </w:tc>
        <w:tc>
          <w:tcPr>
            <w:tcW w:w="180" w:type="dxa"/>
            <w:vAlign w:val="bottom"/>
          </w:tcPr>
          <w:p>
            <w:pPr>
              <w:spacing w:after="0"/>
              <w:rPr>
                <w:sz w:val="18"/>
                <w:szCs w:val="18"/>
                <w:color w:val="auto"/>
              </w:rPr>
            </w:pPr>
          </w:p>
        </w:tc>
        <w:tc>
          <w:tcPr>
            <w:tcW w:w="1340" w:type="dxa"/>
            <w:vAlign w:val="bottom"/>
            <w:gridSpan w:val="2"/>
          </w:tcPr>
          <w:p>
            <w:pPr>
              <w:jc w:val="right"/>
              <w:ind w:right="720"/>
              <w:spacing w:after="0"/>
              <w:rPr>
                <w:sz w:val="20"/>
                <w:szCs w:val="20"/>
                <w:color w:val="auto"/>
              </w:rPr>
            </w:pPr>
            <w:r>
              <w:rPr>
                <w:rFonts w:ascii="Arial" w:cs="Arial" w:eastAsia="Arial" w:hAnsi="Arial"/>
                <w:sz w:val="18"/>
                <w:szCs w:val="18"/>
                <w:b w:val="1"/>
                <w:bCs w:val="1"/>
                <w:color w:val="auto"/>
              </w:rPr>
              <w:t>0.7</w:t>
            </w:r>
          </w:p>
        </w:tc>
        <w:tc>
          <w:tcPr>
            <w:tcW w:w="1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b w:val="1"/>
                <w:bCs w:val="1"/>
                <w:color w:val="auto"/>
              </w:rPr>
              <w:t>1.4</w:t>
            </w: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0.9</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b w:val="1"/>
                <w:bCs w:val="1"/>
                <w:color w:val="auto"/>
              </w:rPr>
              <w:t>1.5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Restructuring charges</w:t>
            </w:r>
          </w:p>
        </w:tc>
        <w:tc>
          <w:tcPr>
            <w:tcW w:w="1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b w:val="1"/>
                <w:bCs w:val="1"/>
                <w:color w:val="auto"/>
              </w:rPr>
              <w:t>2.1</w:t>
            </w: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0.7</w:t>
            </w: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b w:val="1"/>
                <w:bCs w:val="1"/>
                <w:color w:val="auto"/>
              </w:rPr>
              <w:t>6.9</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0" w:type="dxa"/>
            <w:vAlign w:val="bottom"/>
          </w:tcPr>
          <w:p>
            <w:pPr>
              <w:spacing w:after="0"/>
              <w:rPr>
                <w:sz w:val="20"/>
                <w:szCs w:val="20"/>
                <w:color w:val="auto"/>
              </w:rPr>
            </w:pPr>
            <w:r>
              <w:rPr>
                <w:rFonts w:ascii="Arial" w:cs="Arial" w:eastAsia="Arial" w:hAnsi="Arial"/>
                <w:sz w:val="18"/>
                <w:szCs w:val="18"/>
                <w:color w:val="auto"/>
              </w:rPr>
              <w:t>Share-based compensation expense</w:t>
            </w:r>
          </w:p>
        </w:tc>
        <w:tc>
          <w:tcPr>
            <w:tcW w:w="180" w:type="dxa"/>
            <w:vAlign w:val="bottom"/>
          </w:tcPr>
          <w:p>
            <w:pPr>
              <w:spacing w:after="0"/>
              <w:rPr>
                <w:sz w:val="18"/>
                <w:szCs w:val="18"/>
                <w:color w:val="auto"/>
              </w:rPr>
            </w:pPr>
          </w:p>
        </w:tc>
        <w:tc>
          <w:tcPr>
            <w:tcW w:w="1340" w:type="dxa"/>
            <w:vAlign w:val="bottom"/>
            <w:gridSpan w:val="2"/>
          </w:tcPr>
          <w:p>
            <w:pPr>
              <w:jc w:val="right"/>
              <w:ind w:right="720"/>
              <w:spacing w:after="0"/>
              <w:rPr>
                <w:sz w:val="20"/>
                <w:szCs w:val="20"/>
                <w:color w:val="auto"/>
              </w:rPr>
            </w:pPr>
            <w:r>
              <w:rPr>
                <w:rFonts w:ascii="Arial" w:cs="Arial" w:eastAsia="Arial" w:hAnsi="Arial"/>
                <w:sz w:val="18"/>
                <w:szCs w:val="18"/>
                <w:b w:val="1"/>
                <w:bCs w:val="1"/>
                <w:color w:val="auto"/>
              </w:rPr>
              <w:t>1.0</w:t>
            </w:r>
          </w:p>
        </w:tc>
        <w:tc>
          <w:tcPr>
            <w:tcW w:w="1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b w:val="1"/>
                <w:bCs w:val="1"/>
                <w:color w:val="auto"/>
              </w:rPr>
              <w:t>0.4</w:t>
            </w: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1.7</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b w:val="1"/>
                <w:bCs w:val="1"/>
                <w:color w:val="auto"/>
              </w:rPr>
              <w:t>1.4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Net loss on NetBoss assets</w:t>
            </w:r>
          </w:p>
        </w:tc>
        <w:tc>
          <w:tcPr>
            <w:tcW w:w="1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b w:val="1"/>
                <w:bCs w:val="1"/>
                <w:color w:val="auto"/>
              </w:rPr>
              <w:t>0.5</w:t>
            </w: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b w:val="1"/>
                <w:bCs w:val="1"/>
                <w:color w:val="auto"/>
              </w:rPr>
              <w:t>4.4</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gridSpan w:val="2"/>
            <w:shd w:val="clear" w:color="auto" w:fill="CCEEFF"/>
          </w:tcPr>
          <w:p>
            <w:pPr>
              <w:ind w:left="20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23"/>
        </w:trPr>
        <w:tc>
          <w:tcPr>
            <w:tcW w:w="5400" w:type="dxa"/>
            <w:vAlign w:val="bottom"/>
          </w:tcPr>
          <w:p>
            <w:pPr>
              <w:spacing w:after="0"/>
              <w:rPr>
                <w:sz w:val="20"/>
                <w:szCs w:val="20"/>
                <w:color w:val="auto"/>
              </w:rPr>
            </w:pPr>
            <w:r>
              <w:rPr>
                <w:rFonts w:ascii="Arial" w:cs="Arial" w:eastAsia="Arial" w:hAnsi="Arial"/>
                <w:sz w:val="18"/>
                <w:szCs w:val="18"/>
                <w:color w:val="auto"/>
              </w:rPr>
              <w:t>Other non-recurring charges</w:t>
            </w:r>
          </w:p>
        </w:tc>
        <w:tc>
          <w:tcPr>
            <w:tcW w:w="1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7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0.2</w:t>
            </w:r>
          </w:p>
        </w:tc>
        <w:tc>
          <w:tcPr>
            <w:tcW w:w="7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ind w:right="17"/>
              <w:spacing w:after="0"/>
              <w:rPr>
                <w:sz w:val="20"/>
                <w:szCs w:val="20"/>
                <w:color w:val="auto"/>
              </w:rPr>
            </w:pPr>
            <w:r>
              <w:rPr>
                <w:rFonts w:ascii="Arial" w:cs="Arial" w:eastAsia="Arial" w:hAnsi="Arial"/>
                <w:sz w:val="18"/>
                <w:szCs w:val="18"/>
                <w:b w:val="1"/>
                <w:bCs w:val="1"/>
                <w:color w:val="auto"/>
              </w:rPr>
              <w:t>—</w:t>
            </w:r>
          </w:p>
        </w:tc>
        <w:tc>
          <w:tcPr>
            <w:tcW w:w="3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0.3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4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34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b w:val="1"/>
                <w:bCs w:val="1"/>
                <w:color w:val="auto"/>
              </w:rPr>
              <w:t>5.1</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6.0</w:t>
            </w:r>
          </w:p>
        </w:tc>
        <w:tc>
          <w:tcPr>
            <w:tcW w:w="900" w:type="dxa"/>
            <w:vAlign w:val="bottom"/>
            <w:gridSpan w:val="2"/>
            <w:shd w:val="clear" w:color="auto" w:fill="CCEEFF"/>
          </w:tcPr>
          <w:p>
            <w:pPr>
              <w:ind w:left="720"/>
              <w:spacing w:after="0"/>
              <w:rPr>
                <w:sz w:val="20"/>
                <w:szCs w:val="20"/>
                <w:color w:val="auto"/>
              </w:rPr>
            </w:pPr>
            <w:r>
              <w:rPr>
                <w:rFonts w:ascii="Arial" w:cs="Arial" w:eastAsia="Arial" w:hAnsi="Arial"/>
                <w:sz w:val="18"/>
                <w:szCs w:val="18"/>
                <w:b w:val="1"/>
                <w:bCs w:val="1"/>
                <w:color w:val="auto"/>
              </w:rPr>
              <w:t>$</w:t>
            </w:r>
          </w:p>
        </w:tc>
        <w:tc>
          <w:tcPr>
            <w:tcW w:w="9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b w:val="1"/>
                <w:bCs w:val="1"/>
                <w:color w:val="auto"/>
              </w:rPr>
              <w:t>15.6</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4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left="460" w:right="160" w:hanging="452"/>
        <w:spacing w:after="0" w:line="268" w:lineRule="auto"/>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following table summarizes certain charges and expenses included in the International segment operating results during the second quarter and first two quarters of fiscal 2011 and fiscal 2010:</w:t>
      </w:r>
    </w:p>
    <w:p>
      <w:pPr>
        <w:spacing w:after="0" w:line="168"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9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gridSpan w:val="2"/>
          </w:tcPr>
          <w:p>
            <w:pPr>
              <w:ind w:left="460"/>
              <w:spacing w:after="0"/>
              <w:rPr>
                <w:sz w:val="20"/>
                <w:szCs w:val="20"/>
                <w:color w:val="auto"/>
              </w:rPr>
            </w:pPr>
            <w:r>
              <w:rPr>
                <w:rFonts w:ascii="Arial" w:cs="Arial" w:eastAsia="Arial" w:hAnsi="Arial"/>
                <w:sz w:val="14"/>
                <w:szCs w:val="14"/>
                <w:b w:val="1"/>
                <w:bCs w:val="1"/>
                <w:color w:val="auto"/>
                <w:w w:val="88"/>
              </w:rPr>
              <w:t>Quarter Ended</w:t>
            </w:r>
          </w:p>
        </w:tc>
        <w:tc>
          <w:tcPr>
            <w:tcW w:w="14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gridSpan w:val="4"/>
          </w:tcPr>
          <w:p>
            <w:pPr>
              <w:ind w:left="280"/>
              <w:spacing w:after="0"/>
              <w:rPr>
                <w:sz w:val="20"/>
                <w:szCs w:val="20"/>
                <w:color w:val="auto"/>
              </w:rPr>
            </w:pPr>
            <w:r>
              <w:rPr>
                <w:rFonts w:ascii="Arial" w:cs="Arial" w:eastAsia="Arial" w:hAnsi="Arial"/>
                <w:sz w:val="14"/>
                <w:szCs w:val="14"/>
                <w:b w:val="1"/>
                <w:bCs w:val="1"/>
                <w:color w:val="auto"/>
                <w:w w:val="87"/>
              </w:rPr>
              <w:t>Two Quarters Ended</w:t>
            </w:r>
          </w:p>
        </w:tc>
        <w:tc>
          <w:tcPr>
            <w:tcW w:w="4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49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520" w:type="dxa"/>
            <w:vAlign w:val="bottom"/>
            <w:gridSpan w:val="3"/>
          </w:tcPr>
          <w:p>
            <w:pPr>
              <w:jc w:val="right"/>
              <w:ind w:right="720"/>
              <w:spacing w:after="0" w:line="129" w:lineRule="exact"/>
              <w:rPr>
                <w:sz w:val="20"/>
                <w:szCs w:val="20"/>
                <w:color w:val="auto"/>
              </w:rPr>
            </w:pPr>
            <w:r>
              <w:rPr>
                <w:rFonts w:ascii="Arial" w:cs="Arial" w:eastAsia="Arial" w:hAnsi="Arial"/>
                <w:sz w:val="14"/>
                <w:szCs w:val="14"/>
                <w:b w:val="1"/>
                <w:bCs w:val="1"/>
                <w:color w:val="auto"/>
                <w:w w:val="85"/>
              </w:rPr>
              <w:t>December 31,</w:t>
            </w:r>
          </w:p>
        </w:tc>
        <w:tc>
          <w:tcPr>
            <w:tcW w:w="620" w:type="dxa"/>
            <w:vAlign w:val="bottom"/>
            <w:gridSpan w:val="2"/>
          </w:tcPr>
          <w:p>
            <w:pPr>
              <w:jc w:val="right"/>
              <w:spacing w:after="0" w:line="129" w:lineRule="exact"/>
              <w:rPr>
                <w:sz w:val="20"/>
                <w:szCs w:val="20"/>
                <w:color w:val="auto"/>
              </w:rPr>
            </w:pPr>
            <w:r>
              <w:rPr>
                <w:rFonts w:ascii="Arial" w:cs="Arial" w:eastAsia="Arial" w:hAnsi="Arial"/>
                <w:sz w:val="14"/>
                <w:szCs w:val="14"/>
                <w:b w:val="1"/>
                <w:bCs w:val="1"/>
                <w:color w:val="auto"/>
                <w:w w:val="86"/>
              </w:rPr>
              <w:t>January 1,</w:t>
            </w:r>
          </w:p>
        </w:tc>
        <w:tc>
          <w:tcPr>
            <w:tcW w:w="740" w:type="dxa"/>
            <w:vAlign w:val="bottom"/>
          </w:tcPr>
          <w:p>
            <w:pPr>
              <w:spacing w:after="0"/>
              <w:rPr>
                <w:sz w:val="11"/>
                <w:szCs w:val="11"/>
                <w:color w:val="auto"/>
              </w:rPr>
            </w:pPr>
          </w:p>
        </w:tc>
        <w:tc>
          <w:tcPr>
            <w:tcW w:w="1160" w:type="dxa"/>
            <w:vAlign w:val="bottom"/>
            <w:gridSpan w:val="3"/>
          </w:tcPr>
          <w:p>
            <w:pPr>
              <w:jc w:val="right"/>
              <w:ind w:right="380"/>
              <w:spacing w:after="0" w:line="129" w:lineRule="exact"/>
              <w:rPr>
                <w:sz w:val="20"/>
                <w:szCs w:val="20"/>
                <w:color w:val="auto"/>
              </w:rPr>
            </w:pPr>
            <w:r>
              <w:rPr>
                <w:rFonts w:ascii="Arial" w:cs="Arial" w:eastAsia="Arial" w:hAnsi="Arial"/>
                <w:sz w:val="14"/>
                <w:szCs w:val="14"/>
                <w:b w:val="1"/>
                <w:bCs w:val="1"/>
                <w:color w:val="auto"/>
                <w:w w:val="83"/>
              </w:rPr>
              <w:t>December 31,</w:t>
            </w:r>
          </w:p>
        </w:tc>
        <w:tc>
          <w:tcPr>
            <w:tcW w:w="360" w:type="dxa"/>
            <w:vAlign w:val="bottom"/>
          </w:tcPr>
          <w:p>
            <w:pPr>
              <w:spacing w:after="0"/>
              <w:rPr>
                <w:sz w:val="11"/>
                <w:szCs w:val="11"/>
                <w:color w:val="auto"/>
              </w:rPr>
            </w:pPr>
          </w:p>
        </w:tc>
        <w:tc>
          <w:tcPr>
            <w:tcW w:w="620" w:type="dxa"/>
            <w:vAlign w:val="bottom"/>
            <w:gridSpan w:val="2"/>
          </w:tcPr>
          <w:p>
            <w:pPr>
              <w:jc w:val="right"/>
              <w:spacing w:after="0" w:line="129" w:lineRule="exact"/>
              <w:rPr>
                <w:sz w:val="20"/>
                <w:szCs w:val="20"/>
                <w:color w:val="auto"/>
              </w:rPr>
            </w:pPr>
            <w:r>
              <w:rPr>
                <w:rFonts w:ascii="Arial" w:cs="Arial" w:eastAsia="Arial" w:hAnsi="Arial"/>
                <w:sz w:val="14"/>
                <w:szCs w:val="14"/>
                <w:b w:val="1"/>
                <w:bCs w:val="1"/>
                <w:color w:val="auto"/>
                <w:w w:val="86"/>
              </w:rPr>
              <w:t>January 1,</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49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77"/>
              <w:spacing w:after="0"/>
              <w:rPr>
                <w:sz w:val="20"/>
                <w:szCs w:val="20"/>
                <w:color w:val="auto"/>
              </w:rPr>
            </w:pPr>
            <w:r>
              <w:rPr>
                <w:rFonts w:ascii="Arial" w:cs="Arial" w:eastAsia="Arial" w:hAnsi="Arial"/>
                <w:sz w:val="14"/>
                <w:szCs w:val="14"/>
                <w:b w:val="1"/>
                <w:bCs w:val="1"/>
                <w:color w:val="auto"/>
              </w:rPr>
              <w:t>2010</w:t>
            </w:r>
          </w:p>
        </w:tc>
        <w:tc>
          <w:tcPr>
            <w:tcW w:w="7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75"/>
              <w:spacing w:after="0"/>
              <w:rPr>
                <w:sz w:val="20"/>
                <w:szCs w:val="20"/>
                <w:color w:val="auto"/>
              </w:rPr>
            </w:pPr>
            <w:r>
              <w:rPr>
                <w:rFonts w:ascii="Arial" w:cs="Arial" w:eastAsia="Arial" w:hAnsi="Arial"/>
                <w:sz w:val="14"/>
                <w:szCs w:val="14"/>
                <w:b w:val="1"/>
                <w:bCs w:val="1"/>
                <w:color w:val="auto"/>
                <w:w w:val="96"/>
              </w:rPr>
              <w:t>2010</w:t>
            </w:r>
          </w:p>
        </w:tc>
        <w:tc>
          <w:tcPr>
            <w:tcW w:w="7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77"/>
              <w:spacing w:after="0"/>
              <w:rPr>
                <w:sz w:val="20"/>
                <w:szCs w:val="20"/>
                <w:color w:val="auto"/>
              </w:rPr>
            </w:pPr>
            <w:r>
              <w:rPr>
                <w:rFonts w:ascii="Arial" w:cs="Arial" w:eastAsia="Arial" w:hAnsi="Arial"/>
                <w:sz w:val="14"/>
                <w:szCs w:val="14"/>
                <w:b w:val="1"/>
                <w:bCs w:val="1"/>
                <w:color w:val="auto"/>
              </w:rPr>
              <w:t>2010</w:t>
            </w:r>
          </w:p>
        </w:tc>
        <w:tc>
          <w:tcPr>
            <w:tcW w:w="3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ind w:right="75"/>
              <w:spacing w:after="0"/>
              <w:rPr>
                <w:sz w:val="20"/>
                <w:szCs w:val="20"/>
                <w:color w:val="auto"/>
              </w:rPr>
            </w:pPr>
            <w:r>
              <w:rPr>
                <w:rFonts w:ascii="Arial" w:cs="Arial" w:eastAsia="Arial" w:hAnsi="Arial"/>
                <w:sz w:val="14"/>
                <w:szCs w:val="14"/>
                <w:b w:val="1"/>
                <w:bCs w:val="1"/>
                <w:color w:val="auto"/>
                <w:w w:val="89"/>
              </w:rPr>
              <w:t>2010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9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740" w:type="dxa"/>
            <w:vAlign w:val="bottom"/>
          </w:tcPr>
          <w:p>
            <w:pPr>
              <w:ind w:left="20"/>
              <w:spacing w:after="0" w:line="142" w:lineRule="exact"/>
              <w:rPr>
                <w:sz w:val="20"/>
                <w:szCs w:val="20"/>
                <w:color w:val="auto"/>
              </w:rPr>
            </w:pPr>
            <w:r>
              <w:rPr>
                <w:rFonts w:ascii="Arial" w:cs="Arial" w:eastAsia="Arial" w:hAnsi="Arial"/>
                <w:sz w:val="14"/>
                <w:szCs w:val="14"/>
                <w:b w:val="1"/>
                <w:bCs w:val="1"/>
                <w:color w:val="auto"/>
                <w:w w:val="89"/>
              </w:rPr>
              <w:t>(In millions)</w:t>
            </w: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8"/>
        </w:trPr>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w w:val="93"/>
              </w:rPr>
              <w:t>Amortization of developed technology, trade names and customer</w:t>
            </w:r>
          </w:p>
        </w:tc>
        <w:tc>
          <w:tcPr>
            <w:tcW w:w="660" w:type="dxa"/>
            <w:vAlign w:val="bottom"/>
            <w:gridSpan w:val="2"/>
            <w:vMerge w:val="restart"/>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w:t>
            </w:r>
          </w:p>
        </w:tc>
        <w:tc>
          <w:tcPr>
            <w:tcW w:w="1340" w:type="dxa"/>
            <w:vAlign w:val="bottom"/>
            <w:gridSpan w:val="2"/>
            <w:vMerge w:val="restart"/>
            <w:shd w:val="clear" w:color="auto" w:fill="CCEEFF"/>
          </w:tcPr>
          <w:p>
            <w:pPr>
              <w:ind w:left="360"/>
              <w:spacing w:after="0"/>
              <w:rPr>
                <w:sz w:val="20"/>
                <w:szCs w:val="20"/>
                <w:color w:val="auto"/>
              </w:rPr>
            </w:pPr>
            <w:r>
              <w:rPr>
                <w:rFonts w:ascii="Arial" w:cs="Arial" w:eastAsia="Arial" w:hAnsi="Arial"/>
                <w:sz w:val="18"/>
                <w:szCs w:val="18"/>
                <w:b w:val="1"/>
                <w:bCs w:val="1"/>
                <w:color w:val="auto"/>
              </w:rPr>
              <w:t>—</w:t>
            </w: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48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0.3</w:t>
            </w:r>
          </w:p>
        </w:tc>
        <w:tc>
          <w:tcPr>
            <w:tcW w:w="920" w:type="dxa"/>
            <w:vAlign w:val="bottom"/>
            <w:gridSpan w:val="2"/>
            <w:vMerge w:val="restart"/>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w:t>
            </w:r>
          </w:p>
        </w:tc>
        <w:tc>
          <w:tcPr>
            <w:tcW w:w="980" w:type="dxa"/>
            <w:vAlign w:val="bottom"/>
            <w:gridSpan w:val="2"/>
            <w:vMerge w:val="restart"/>
            <w:shd w:val="clear" w:color="auto" w:fill="CCEEFF"/>
          </w:tcPr>
          <w:p>
            <w:pPr>
              <w:ind w:left="360"/>
              <w:spacing w:after="0"/>
              <w:rPr>
                <w:sz w:val="20"/>
                <w:szCs w:val="20"/>
                <w:color w:val="auto"/>
              </w:rPr>
            </w:pPr>
            <w:r>
              <w:rPr>
                <w:rFonts w:ascii="Arial" w:cs="Arial" w:eastAsia="Arial" w:hAnsi="Arial"/>
                <w:sz w:val="18"/>
                <w:szCs w:val="18"/>
                <w:b w:val="1"/>
                <w:bCs w:val="1"/>
                <w:color w:val="auto"/>
              </w:rPr>
              <w:t>—</w:t>
            </w:r>
          </w:p>
        </w:tc>
        <w:tc>
          <w:tcPr>
            <w:tcW w:w="52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46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3.2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49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relationships</w:t>
            </w:r>
          </w:p>
        </w:tc>
        <w:tc>
          <w:tcPr>
            <w:tcW w:w="660" w:type="dxa"/>
            <w:vAlign w:val="bottom"/>
            <w:gridSpan w:val="2"/>
            <w:vMerge w:val="continue"/>
            <w:shd w:val="clear" w:color="auto" w:fill="CCEEFF"/>
          </w:tcPr>
          <w:p>
            <w:pPr>
              <w:spacing w:after="0"/>
              <w:rPr>
                <w:sz w:val="19"/>
                <w:szCs w:val="19"/>
                <w:color w:val="auto"/>
              </w:rPr>
            </w:pPr>
          </w:p>
        </w:tc>
        <w:tc>
          <w:tcPr>
            <w:tcW w:w="1340" w:type="dxa"/>
            <w:vAlign w:val="bottom"/>
            <w:gridSpan w:val="2"/>
            <w:vMerge w:val="continue"/>
            <w:shd w:val="clear" w:color="auto" w:fill="CCEEFF"/>
          </w:tcPr>
          <w:p>
            <w:pPr>
              <w:spacing w:after="0"/>
              <w:rPr>
                <w:sz w:val="19"/>
                <w:szCs w:val="19"/>
                <w:color w:val="auto"/>
              </w:rPr>
            </w:pPr>
          </w:p>
        </w:tc>
        <w:tc>
          <w:tcPr>
            <w:tcW w:w="140" w:type="dxa"/>
            <w:vAlign w:val="bottom"/>
            <w:vMerge w:val="continue"/>
            <w:shd w:val="clear" w:color="auto" w:fill="CCEEFF"/>
          </w:tcPr>
          <w:p>
            <w:pPr>
              <w:spacing w:after="0"/>
              <w:rPr>
                <w:sz w:val="19"/>
                <w:szCs w:val="19"/>
                <w:color w:val="auto"/>
              </w:rPr>
            </w:pPr>
          </w:p>
        </w:tc>
        <w:tc>
          <w:tcPr>
            <w:tcW w:w="480" w:type="dxa"/>
            <w:vAlign w:val="bottom"/>
            <w:vMerge w:val="continue"/>
            <w:shd w:val="clear" w:color="auto" w:fill="CCEEFF"/>
          </w:tcPr>
          <w:p>
            <w:pPr>
              <w:spacing w:after="0"/>
              <w:rPr>
                <w:sz w:val="19"/>
                <w:szCs w:val="19"/>
                <w:color w:val="auto"/>
              </w:rPr>
            </w:pPr>
          </w:p>
        </w:tc>
        <w:tc>
          <w:tcPr>
            <w:tcW w:w="920" w:type="dxa"/>
            <w:vAlign w:val="bottom"/>
            <w:gridSpan w:val="2"/>
            <w:vMerge w:val="continue"/>
            <w:shd w:val="clear" w:color="auto" w:fill="CCEEFF"/>
          </w:tcPr>
          <w:p>
            <w:pPr>
              <w:spacing w:after="0"/>
              <w:rPr>
                <w:sz w:val="19"/>
                <w:szCs w:val="19"/>
                <w:color w:val="auto"/>
              </w:rPr>
            </w:pPr>
          </w:p>
        </w:tc>
        <w:tc>
          <w:tcPr>
            <w:tcW w:w="980" w:type="dxa"/>
            <w:vAlign w:val="bottom"/>
            <w:gridSpan w:val="2"/>
            <w:vMerge w:val="continue"/>
            <w:shd w:val="clear" w:color="auto" w:fill="CCEEFF"/>
          </w:tcPr>
          <w:p>
            <w:pPr>
              <w:spacing w:after="0"/>
              <w:rPr>
                <w:sz w:val="19"/>
                <w:szCs w:val="19"/>
                <w:color w:val="auto"/>
              </w:rPr>
            </w:pPr>
          </w:p>
        </w:tc>
        <w:tc>
          <w:tcPr>
            <w:tcW w:w="520" w:type="dxa"/>
            <w:vAlign w:val="bottom"/>
            <w:gridSpan w:val="2"/>
            <w:vMerge w:val="continue"/>
            <w:shd w:val="clear" w:color="auto" w:fill="CCEEFF"/>
          </w:tcPr>
          <w:p>
            <w:pPr>
              <w:spacing w:after="0"/>
              <w:rPr>
                <w:sz w:val="19"/>
                <w:szCs w:val="19"/>
                <w:color w:val="auto"/>
              </w:rPr>
            </w:pPr>
          </w:p>
        </w:tc>
        <w:tc>
          <w:tcPr>
            <w:tcW w:w="4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900" w:type="dxa"/>
            <w:vAlign w:val="bottom"/>
          </w:tcPr>
          <w:p>
            <w:pPr>
              <w:spacing w:after="0"/>
              <w:rPr>
                <w:sz w:val="20"/>
                <w:szCs w:val="20"/>
                <w:color w:val="auto"/>
              </w:rPr>
            </w:pPr>
            <w:r>
              <w:rPr>
                <w:rFonts w:ascii="Arial" w:cs="Arial" w:eastAsia="Arial" w:hAnsi="Arial"/>
                <w:sz w:val="18"/>
                <w:szCs w:val="18"/>
                <w:color w:val="auto"/>
              </w:rPr>
              <w:t>Rebranding and transitional costs</w:t>
            </w: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gridSpan w:val="2"/>
          </w:tcPr>
          <w:p>
            <w:pPr>
              <w:ind w:left="360"/>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b w:val="1"/>
                <w:bCs w:val="1"/>
                <w:color w:val="auto"/>
              </w:rPr>
              <w:t>0.1</w:t>
            </w: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tcPr>
          <w:p>
            <w:pPr>
              <w:ind w:left="360"/>
              <w:spacing w:after="0"/>
              <w:rPr>
                <w:sz w:val="20"/>
                <w:szCs w:val="20"/>
                <w:color w:val="auto"/>
              </w:rPr>
            </w:pPr>
            <w:r>
              <w:rPr>
                <w:rFonts w:ascii="Arial" w:cs="Arial" w:eastAsia="Arial" w:hAnsi="Arial"/>
                <w:sz w:val="18"/>
                <w:szCs w:val="18"/>
                <w:b w:val="1"/>
                <w:bCs w:val="1"/>
                <w:color w:val="auto"/>
              </w:rPr>
              <w:t>—</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b w:val="1"/>
                <w:bCs w:val="1"/>
                <w:color w:val="auto"/>
              </w:rPr>
              <w:t>0.1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Restructuring charges</w:t>
            </w: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b w:val="1"/>
                <w:bCs w:val="1"/>
                <w:color w:val="auto"/>
              </w:rPr>
              <w:t>1.3</w:t>
            </w: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0.8</w:t>
            </w: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b w:val="1"/>
                <w:bCs w:val="1"/>
                <w:color w:val="auto"/>
              </w:rPr>
              <w:t>2.1</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00" w:type="dxa"/>
            <w:vAlign w:val="bottom"/>
          </w:tcPr>
          <w:p>
            <w:pPr>
              <w:spacing w:after="0"/>
              <w:rPr>
                <w:sz w:val="20"/>
                <w:szCs w:val="20"/>
                <w:color w:val="auto"/>
              </w:rPr>
            </w:pPr>
            <w:r>
              <w:rPr>
                <w:rFonts w:ascii="Arial" w:cs="Arial" w:eastAsia="Arial" w:hAnsi="Arial"/>
                <w:sz w:val="18"/>
                <w:szCs w:val="18"/>
                <w:color w:val="auto"/>
                <w:w w:val="95"/>
              </w:rPr>
              <w:t>Amortization of the fair value adjustments related to fixed assets</w:t>
            </w: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gridSpan w:val="2"/>
          </w:tcPr>
          <w:p>
            <w:pPr>
              <w:ind w:left="360"/>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tcPr>
          <w:p>
            <w:pPr>
              <w:ind w:left="360"/>
              <w:spacing w:after="0"/>
              <w:rPr>
                <w:sz w:val="20"/>
                <w:szCs w:val="20"/>
                <w:color w:val="auto"/>
              </w:rPr>
            </w:pPr>
            <w:r>
              <w:rPr>
                <w:rFonts w:ascii="Arial" w:cs="Arial" w:eastAsia="Arial" w:hAnsi="Arial"/>
                <w:sz w:val="18"/>
                <w:szCs w:val="18"/>
                <w:b w:val="1"/>
                <w:bCs w:val="1"/>
                <w:color w:val="auto"/>
              </w:rPr>
              <w:t>—</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b w:val="1"/>
                <w:bCs w:val="1"/>
                <w:color w:val="auto"/>
              </w:rPr>
              <w:t>0.1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Share-based compensation expense</w:t>
            </w: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b w:val="1"/>
                <w:bCs w:val="1"/>
                <w:color w:val="auto"/>
              </w:rPr>
              <w:t>0.3</w:t>
            </w: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0.1</w:t>
            </w: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b w:val="1"/>
                <w:bCs w:val="1"/>
                <w:color w:val="auto"/>
              </w:rPr>
              <w:t>0.4</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900" w:type="dxa"/>
            <w:vAlign w:val="bottom"/>
          </w:tcPr>
          <w:p>
            <w:pPr>
              <w:spacing w:after="0"/>
              <w:rPr>
                <w:sz w:val="20"/>
                <w:szCs w:val="20"/>
                <w:color w:val="auto"/>
              </w:rPr>
            </w:pPr>
            <w:r>
              <w:rPr>
                <w:rFonts w:ascii="Arial" w:cs="Arial" w:eastAsia="Arial" w:hAnsi="Arial"/>
                <w:sz w:val="18"/>
                <w:szCs w:val="18"/>
                <w:color w:val="auto"/>
              </w:rPr>
              <w:t>Other non-recurring charges</w:t>
            </w:r>
          </w:p>
        </w:tc>
        <w:tc>
          <w:tcPr>
            <w:tcW w:w="4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0.5</w:t>
            </w:r>
          </w:p>
        </w:tc>
        <w:tc>
          <w:tcPr>
            <w:tcW w:w="7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7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0.5</w:t>
            </w:r>
          </w:p>
        </w:tc>
        <w:tc>
          <w:tcPr>
            <w:tcW w:w="3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9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w:t>
            </w:r>
          </w:p>
        </w:tc>
        <w:tc>
          <w:tcPr>
            <w:tcW w:w="134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b w:val="1"/>
                <w:bCs w:val="1"/>
                <w:color w:val="auto"/>
              </w:rPr>
              <w:t>2.1</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1.3</w:t>
            </w:r>
          </w:p>
        </w:tc>
        <w:tc>
          <w:tcPr>
            <w:tcW w:w="92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w:t>
            </w:r>
          </w:p>
        </w:tc>
        <w:tc>
          <w:tcPr>
            <w:tcW w:w="9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b w:val="1"/>
                <w:bCs w:val="1"/>
                <w:color w:val="auto"/>
              </w:rPr>
              <w:t>3.0</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900" w:type="dxa"/>
            <w:vAlign w:val="bottom"/>
          </w:tcPr>
          <w:p>
            <w:pPr>
              <w:spacing w:after="0" w:line="20" w:lineRule="exact"/>
              <w:rPr>
                <w:sz w:val="1"/>
                <w:szCs w:val="1"/>
                <w:color w:val="auto"/>
              </w:rPr>
            </w:pPr>
          </w:p>
        </w:tc>
        <w:tc>
          <w:tcPr>
            <w:tcW w:w="480" w:type="dxa"/>
            <w:vAlign w:val="bottom"/>
            <w:vMerge w:val="restart"/>
          </w:tcPr>
          <w:p>
            <w:pPr>
              <w:jc w:val="right"/>
              <w:spacing w:after="0"/>
              <w:rPr>
                <w:sz w:val="20"/>
                <w:szCs w:val="20"/>
                <w:color w:val="auto"/>
              </w:rPr>
            </w:pPr>
            <w:r>
              <w:rPr>
                <w:rFonts w:ascii="Arial" w:cs="Arial" w:eastAsia="Arial" w:hAnsi="Arial"/>
                <w:sz w:val="18"/>
                <w:szCs w:val="18"/>
                <w:color w:val="auto"/>
              </w:rPr>
              <w:t>12</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4900" w:type="dxa"/>
            <w:vAlign w:val="bottom"/>
          </w:tcPr>
          <w:p>
            <w:pPr>
              <w:spacing w:after="0"/>
              <w:rPr>
                <w:sz w:val="24"/>
                <w:szCs w:val="24"/>
                <w:color w:val="auto"/>
              </w:rPr>
            </w:pPr>
          </w:p>
        </w:tc>
        <w:tc>
          <w:tcPr>
            <w:tcW w:w="48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80"/>
          </w:cols>
          <w:pgMar w:left="240" w:top="459" w:right="37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Income Taxes</w:t>
      </w:r>
    </w:p>
    <w:p>
      <w:pPr>
        <w:spacing w:after="0" w:line="96"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The determination of provision for income taxes for the second quarter of $5.3 million and benefit from income tax of first two quarters of fiscal 2011 of $0.2 million, and provision for income taxes for the second quarter and first two quarters of fiscal 2010 of $1.4 million and $2.3 million, respectively, was primarily based on our estimated annual effective tax rate adjusted for losses in separate jurisdictions for which no tax benefit can be recognized. The second quarter and first two quarters of fiscal 2011, respectively, incorporate an income tax benefit of $0.2 million and $2.1 million associated with the expiring favorable tax ruling granted by the Singapore Economic Development Board. The expiration of the ruling resulted in an increase to the local tax rate applied to all deferred tax assets that will reverse subsequent to the expiration of this ruling</w:t>
      </w:r>
      <w:r>
        <w:rPr>
          <w:rFonts w:ascii="Arial" w:cs="Arial" w:eastAsia="Arial" w:hAnsi="Arial"/>
          <w:sz w:val="16"/>
          <w:szCs w:val="16"/>
          <w:i w:val="1"/>
          <w:iCs w:val="1"/>
          <w:color w:val="auto"/>
        </w:rPr>
        <w:t>.</w:t>
      </w:r>
      <w:r>
        <w:rPr>
          <w:rFonts w:ascii="Arial" w:cs="Arial" w:eastAsia="Arial" w:hAnsi="Arial"/>
          <w:sz w:val="16"/>
          <w:szCs w:val="16"/>
          <w:color w:val="auto"/>
        </w:rPr>
        <w:t xml:space="preserve"> In the current quarter a one-time income tax benefit of $2.6 million has been recognized relating to recently passed Singapore legislation that has reduced the prior year taxable income and has generated additional tax losses that can be carried forward indefinitely. Our effective tax rate varies from the U.S. federal statutory rate of 35% due to results of foreign operations that are subject to income taxes at different statutory rates and certain jurisdictions where we cannot recognize tax benefits on current losses.</w:t>
      </w:r>
    </w:p>
    <w:p>
      <w:pPr>
        <w:spacing w:after="0" w:line="120"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As of July 2, 2010 and December 31, 2010, we had a liability for unrecognized tax benefits of $14.9 million and $15.5 million, respectively, for various federal, foreign, and state income tax matters. The liability for unrecognized tax benefits has increased during the second quarter and first two quarters of fiscal 2011 in the amount of $0.6 million and $0.6 million. If the unrecognized tax benefits associated with these positions are ultimately recognized they would not be expected to have a material impact on our effective tax rate or financial position.</w:t>
      </w:r>
    </w:p>
    <w:p>
      <w:pPr>
        <w:spacing w:after="0" w:line="113" w:lineRule="exact"/>
        <w:rPr>
          <w:sz w:val="20"/>
          <w:szCs w:val="20"/>
          <w:color w:val="auto"/>
        </w:rPr>
      </w:pPr>
    </w:p>
    <w:p>
      <w:pPr>
        <w:jc w:val="both"/>
        <w:ind w:right="100" w:firstLine="456"/>
        <w:spacing w:after="0" w:line="259" w:lineRule="auto"/>
        <w:rPr>
          <w:sz w:val="20"/>
          <w:szCs w:val="20"/>
          <w:color w:val="auto"/>
        </w:rPr>
      </w:pPr>
      <w:r>
        <w:rPr>
          <w:rFonts w:ascii="Arial" w:cs="Arial" w:eastAsia="Arial" w:hAnsi="Arial"/>
          <w:sz w:val="18"/>
          <w:szCs w:val="18"/>
          <w:color w:val="auto"/>
        </w:rPr>
        <w:t>We account for interest and penalties related to unrecognized tax benefits as part of our provision for federal, foreign, and state income taxes. We accrued no additional amount for such interest during the first two quarters of fiscal 2011 and fiscal 2010. No penalties have been accrued on any of the unrecognized tax benefits.</w:t>
      </w:r>
    </w:p>
    <w:p>
      <w:pPr>
        <w:spacing w:after="0" w:line="140"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We expect that the amount of unrecognized tax benefit may change in the next year; however, it is not expected to have a significant impact on our results of operations, financial position or cash flows.</w:t>
      </w:r>
    </w:p>
    <w:p>
      <w:pPr>
        <w:spacing w:after="0" w:line="132"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We have a number of years with open tax audits which vary from jurisdiction to jurisdiction. Our major tax jurisdictions include the U.S., Singapore, Poland, Nigeria, France and the U.K. The earliest years still open and subject to potential audits for these jurisdictions are as follows: United States — 2003; Singapore — 2006; Poland — 2004; Nigeria — 2004; France — 2006; and U.K-2006. As of December 31, 2010, we are under audit by the U.S. Internal Revenue Service for the fiscal year 2008 tax return.</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Fair Value Measurements of Assets and Liabilities</w:t>
      </w:r>
    </w:p>
    <w:p>
      <w:pPr>
        <w:spacing w:after="0" w:line="96" w:lineRule="exact"/>
        <w:rPr>
          <w:sz w:val="20"/>
          <w:szCs w:val="20"/>
          <w:color w:val="auto"/>
        </w:rPr>
      </w:pPr>
    </w:p>
    <w:p>
      <w:pPr>
        <w:ind w:right="140" w:firstLine="456"/>
        <w:spacing w:after="0" w:line="298" w:lineRule="auto"/>
        <w:rPr>
          <w:sz w:val="20"/>
          <w:szCs w:val="20"/>
          <w:color w:val="auto"/>
        </w:rPr>
      </w:pPr>
      <w:r>
        <w:rPr>
          <w:rFonts w:ascii="Arial" w:cs="Arial" w:eastAsia="Arial" w:hAnsi="Arial"/>
          <w:sz w:val="16"/>
          <w:szCs w:val="16"/>
          <w:color w:val="auto"/>
        </w:rPr>
        <w:t>We determine fair value as the price that would be received to sell an asset or paid to transfer a liability in the principal market (or most advantageous market, in the absence of a principal market) for the asset or liability in an orderly transaction between market participants as of the measurement date. We try to maximize the use of observable inputs and minimize the use of unobservable inputs in measuring fair value and establish a three-level fair value hierarchy that prioritizes the inputs used to measure fair value. The three levels of inputs used to measure fair value are as follows:</w:t>
      </w:r>
    </w:p>
    <w:p>
      <w:pPr>
        <w:spacing w:after="0" w:line="32" w:lineRule="exact"/>
        <w:rPr>
          <w:sz w:val="20"/>
          <w:szCs w:val="20"/>
          <w:color w:val="auto"/>
        </w:rPr>
      </w:pPr>
    </w:p>
    <w:p>
      <w:pPr>
        <w:ind w:left="900" w:hanging="446"/>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Level 1 — Observable inputs such as quoted prices in active markets for identical assets or liabilities;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Level 2 — Observable market-based inputs or observable inputs that are corroborated by market data;</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Level 3 — Unobservable inputs reflecting our own assumptions.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45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The carrying amounts, estimated fair values and valuation input levels of our financial assets and financial liabilities as of December 31, 2010 and July 2, 2010 are as follows: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gridSpan w:val="4"/>
          </w:tcPr>
          <w:p>
            <w:pPr>
              <w:jc w:val="center"/>
              <w:ind w:right="92"/>
              <w:spacing w:after="0"/>
              <w:rPr>
                <w:sz w:val="20"/>
                <w:szCs w:val="20"/>
                <w:color w:val="auto"/>
              </w:rPr>
            </w:pPr>
            <w:r>
              <w:rPr>
                <w:rFonts w:ascii="Arial" w:cs="Arial" w:eastAsia="Arial" w:hAnsi="Arial"/>
                <w:sz w:val="14"/>
                <w:szCs w:val="14"/>
                <w:b w:val="1"/>
                <w:bCs w:val="1"/>
                <w:color w:val="auto"/>
                <w:w w:val="85"/>
              </w:rPr>
              <w:t>December 31,</w:t>
            </w: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gridSpan w:val="2"/>
          </w:tcPr>
          <w:p>
            <w:pPr>
              <w:jc w:val="center"/>
              <w:ind w:left="157"/>
              <w:spacing w:after="0"/>
              <w:rPr>
                <w:sz w:val="20"/>
                <w:szCs w:val="20"/>
                <w:color w:val="auto"/>
              </w:rPr>
            </w:pPr>
            <w:r>
              <w:rPr>
                <w:rFonts w:ascii="Arial" w:cs="Arial" w:eastAsia="Arial" w:hAnsi="Arial"/>
                <w:sz w:val="14"/>
                <w:szCs w:val="14"/>
                <w:b w:val="1"/>
                <w:bCs w:val="1"/>
                <w:color w:val="auto"/>
                <w:w w:val="87"/>
              </w:rPr>
              <w:t>July 2,</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76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4"/>
                <w:szCs w:val="14"/>
                <w:b w:val="1"/>
                <w:bCs w:val="1"/>
                <w:color w:val="auto"/>
              </w:rPr>
              <w:t>2010</w:t>
            </w:r>
          </w:p>
        </w:tc>
        <w:tc>
          <w:tcPr>
            <w:tcW w:w="10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4"/>
                <w:szCs w:val="14"/>
                <w:b w:val="1"/>
                <w:bCs w:val="1"/>
                <w:color w:val="auto"/>
              </w:rPr>
              <w:t>2010</w:t>
            </w:r>
          </w:p>
        </w:tc>
        <w:tc>
          <w:tcPr>
            <w:tcW w:w="10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Valuation</w:t>
            </w:r>
          </w:p>
        </w:tc>
        <w:tc>
          <w:tcPr>
            <w:tcW w:w="0" w:type="dxa"/>
            <w:vAlign w:val="bottom"/>
          </w:tcPr>
          <w:p>
            <w:pPr>
              <w:spacing w:after="0"/>
              <w:rPr>
                <w:sz w:val="1"/>
                <w:szCs w:val="1"/>
                <w:color w:val="auto"/>
              </w:rPr>
            </w:pPr>
          </w:p>
        </w:tc>
      </w:tr>
      <w:tr>
        <w:trPr>
          <w:trHeight w:val="129"/>
        </w:trPr>
        <w:tc>
          <w:tcPr>
            <w:tcW w:w="7660" w:type="dxa"/>
            <w:vAlign w:val="bottom"/>
          </w:tcPr>
          <w:p>
            <w:pPr>
              <w:spacing w:after="0"/>
              <w:rPr>
                <w:sz w:val="11"/>
                <w:szCs w:val="11"/>
                <w:color w:val="auto"/>
              </w:rPr>
            </w:pPr>
          </w:p>
        </w:tc>
        <w:tc>
          <w:tcPr>
            <w:tcW w:w="82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Carrying</w:t>
            </w:r>
          </w:p>
        </w:tc>
        <w:tc>
          <w:tcPr>
            <w:tcW w:w="420" w:type="dxa"/>
            <w:vAlign w:val="bottom"/>
            <w:gridSpan w:val="2"/>
          </w:tcPr>
          <w:p>
            <w:pPr>
              <w:jc w:val="right"/>
              <w:spacing w:after="0" w:line="129" w:lineRule="exact"/>
              <w:rPr>
                <w:sz w:val="20"/>
                <w:szCs w:val="20"/>
                <w:color w:val="auto"/>
              </w:rPr>
            </w:pPr>
            <w:r>
              <w:rPr>
                <w:rFonts w:ascii="Arial" w:cs="Arial" w:eastAsia="Arial" w:hAnsi="Arial"/>
                <w:sz w:val="14"/>
                <w:szCs w:val="14"/>
                <w:b w:val="1"/>
                <w:bCs w:val="1"/>
                <w:color w:val="auto"/>
              </w:rPr>
              <w:t>Fair</w:t>
            </w:r>
          </w:p>
        </w:tc>
        <w:tc>
          <w:tcPr>
            <w:tcW w:w="300" w:type="dxa"/>
            <w:vAlign w:val="bottom"/>
          </w:tcPr>
          <w:p>
            <w:pPr>
              <w:spacing w:after="0"/>
              <w:rPr>
                <w:sz w:val="11"/>
                <w:szCs w:val="11"/>
                <w:color w:val="auto"/>
              </w:rPr>
            </w:pPr>
          </w:p>
        </w:tc>
        <w:tc>
          <w:tcPr>
            <w:tcW w:w="82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Carrying</w:t>
            </w:r>
          </w:p>
        </w:tc>
        <w:tc>
          <w:tcPr>
            <w:tcW w:w="420" w:type="dxa"/>
            <w:vAlign w:val="bottom"/>
            <w:gridSpan w:val="2"/>
          </w:tcPr>
          <w:p>
            <w:pPr>
              <w:jc w:val="right"/>
              <w:spacing w:after="0" w:line="129" w:lineRule="exact"/>
              <w:rPr>
                <w:sz w:val="20"/>
                <w:szCs w:val="20"/>
                <w:color w:val="auto"/>
              </w:rPr>
            </w:pPr>
            <w:r>
              <w:rPr>
                <w:rFonts w:ascii="Arial" w:cs="Arial" w:eastAsia="Arial" w:hAnsi="Arial"/>
                <w:sz w:val="14"/>
                <w:szCs w:val="14"/>
                <w:b w:val="1"/>
                <w:bCs w:val="1"/>
                <w:color w:val="auto"/>
              </w:rPr>
              <w:t>Fair</w:t>
            </w:r>
          </w:p>
        </w:tc>
        <w:tc>
          <w:tcPr>
            <w:tcW w:w="300" w:type="dxa"/>
            <w:vAlign w:val="bottom"/>
          </w:tcPr>
          <w:p>
            <w:pPr>
              <w:spacing w:after="0"/>
              <w:rPr>
                <w:sz w:val="11"/>
                <w:szCs w:val="11"/>
                <w:color w:val="auto"/>
              </w:rPr>
            </w:pPr>
          </w:p>
        </w:tc>
        <w:tc>
          <w:tcPr>
            <w:tcW w:w="68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7660" w:type="dxa"/>
            <w:vAlign w:val="bottom"/>
          </w:tcPr>
          <w:p>
            <w:pPr>
              <w:spacing w:after="0"/>
              <w:rPr>
                <w:sz w:val="14"/>
                <w:szCs w:val="14"/>
                <w:color w:val="auto"/>
              </w:rPr>
            </w:pPr>
          </w:p>
        </w:tc>
        <w:tc>
          <w:tcPr>
            <w:tcW w:w="54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94"/>
              </w:rPr>
              <w:t>Amount</w:t>
            </w:r>
          </w:p>
        </w:tc>
        <w:tc>
          <w:tcPr>
            <w:tcW w:w="280" w:type="dxa"/>
            <w:vAlign w:val="bottom"/>
          </w:tcPr>
          <w:p>
            <w:pPr>
              <w:spacing w:after="0"/>
              <w:rPr>
                <w:sz w:val="14"/>
                <w:szCs w:val="14"/>
                <w:color w:val="auto"/>
              </w:rPr>
            </w:pPr>
          </w:p>
        </w:tc>
        <w:tc>
          <w:tcPr>
            <w:tcW w:w="4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6"/>
              </w:rPr>
              <w:t>Value</w:t>
            </w:r>
          </w:p>
        </w:tc>
        <w:tc>
          <w:tcPr>
            <w:tcW w:w="300" w:type="dxa"/>
            <w:vAlign w:val="bottom"/>
          </w:tcPr>
          <w:p>
            <w:pPr>
              <w:spacing w:after="0"/>
              <w:rPr>
                <w:sz w:val="14"/>
                <w:szCs w:val="14"/>
                <w:color w:val="auto"/>
              </w:rPr>
            </w:pPr>
          </w:p>
        </w:tc>
        <w:tc>
          <w:tcPr>
            <w:tcW w:w="5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0"/>
              </w:rPr>
              <w:t>Amount</w:t>
            </w:r>
          </w:p>
        </w:tc>
        <w:tc>
          <w:tcPr>
            <w:tcW w:w="280" w:type="dxa"/>
            <w:vAlign w:val="bottom"/>
          </w:tcPr>
          <w:p>
            <w:pPr>
              <w:spacing w:after="0"/>
              <w:rPr>
                <w:sz w:val="14"/>
                <w:szCs w:val="14"/>
                <w:color w:val="auto"/>
              </w:rPr>
            </w:pPr>
          </w:p>
        </w:tc>
        <w:tc>
          <w:tcPr>
            <w:tcW w:w="4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6"/>
              </w:rPr>
              <w:t>Value</w:t>
            </w:r>
          </w:p>
        </w:tc>
        <w:tc>
          <w:tcPr>
            <w:tcW w:w="300" w:type="dxa"/>
            <w:vAlign w:val="bottom"/>
          </w:tcPr>
          <w:p>
            <w:pPr>
              <w:spacing w:after="0"/>
              <w:rPr>
                <w:sz w:val="14"/>
                <w:szCs w:val="14"/>
                <w:color w:val="auto"/>
              </w:rPr>
            </w:pPr>
          </w:p>
        </w:tc>
        <w:tc>
          <w:tcPr>
            <w:tcW w:w="58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Inputs</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7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40" w:type="dxa"/>
            <w:vAlign w:val="bottom"/>
            <w:gridSpan w:val="3"/>
          </w:tcPr>
          <w:p>
            <w:pPr>
              <w:jc w:val="right"/>
              <w:spacing w:after="0" w:line="142" w:lineRule="exact"/>
              <w:rPr>
                <w:sz w:val="20"/>
                <w:szCs w:val="20"/>
                <w:color w:val="auto"/>
              </w:rPr>
            </w:pPr>
            <w:r>
              <w:rPr>
                <w:rFonts w:ascii="Arial" w:cs="Arial" w:eastAsia="Arial" w:hAnsi="Arial"/>
                <w:sz w:val="14"/>
                <w:szCs w:val="14"/>
                <w:b w:val="1"/>
                <w:bCs w:val="1"/>
                <w:color w:val="auto"/>
              </w:rPr>
              <w:t>(In millions)</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7660" w:type="dxa"/>
            <w:vAlign w:val="bottom"/>
            <w:shd w:val="clear" w:color="auto" w:fill="CCEEFF"/>
          </w:tcPr>
          <w:p>
            <w:pPr>
              <w:spacing w:after="0"/>
              <w:rPr>
                <w:sz w:val="20"/>
                <w:szCs w:val="20"/>
                <w:color w:val="auto"/>
              </w:rPr>
            </w:pPr>
            <w:r>
              <w:rPr>
                <w:rFonts w:ascii="Arial" w:cs="Arial" w:eastAsia="Arial" w:hAnsi="Arial"/>
                <w:sz w:val="18"/>
                <w:szCs w:val="18"/>
                <w:color w:val="auto"/>
              </w:rPr>
              <w:t>Financial Assets:</w:t>
            </w: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60" w:type="dxa"/>
            <w:vAlign w:val="bottom"/>
          </w:tcPr>
          <w:p>
            <w:pPr>
              <w:spacing w:after="0"/>
              <w:rPr>
                <w:sz w:val="20"/>
                <w:szCs w:val="20"/>
                <w:color w:val="auto"/>
              </w:rPr>
            </w:pPr>
            <w:r>
              <w:rPr>
                <w:rFonts w:ascii="Arial" w:cs="Arial" w:eastAsia="Arial" w:hAnsi="Arial"/>
                <w:sz w:val="18"/>
                <w:szCs w:val="18"/>
                <w:color w:val="auto"/>
              </w:rPr>
              <w:t>Cash</w:t>
            </w:r>
          </w:p>
        </w:tc>
        <w:tc>
          <w:tcPr>
            <w:tcW w:w="160" w:type="dxa"/>
            <w:vAlign w:val="bottom"/>
          </w:tcPr>
          <w:p>
            <w:pPr>
              <w:spacing w:after="0"/>
              <w:rPr>
                <w:sz w:val="20"/>
                <w:szCs w:val="20"/>
                <w:color w:val="auto"/>
              </w:rPr>
            </w:pPr>
            <w:r>
              <w:rPr>
                <w:rFonts w:ascii="Arial" w:cs="Arial" w:eastAsia="Arial" w:hAnsi="Arial"/>
                <w:sz w:val="18"/>
                <w:szCs w:val="18"/>
                <w:b w:val="1"/>
                <w:bCs w:val="1"/>
                <w:color w:val="auto"/>
              </w:rPr>
              <w:t>$</w:t>
            </w:r>
          </w:p>
        </w:tc>
        <w:tc>
          <w:tcPr>
            <w:tcW w:w="380" w:type="dxa"/>
            <w:vAlign w:val="bottom"/>
          </w:tcPr>
          <w:p>
            <w:pPr>
              <w:jc w:val="right"/>
              <w:spacing w:after="0"/>
              <w:rPr>
                <w:sz w:val="20"/>
                <w:szCs w:val="20"/>
                <w:color w:val="auto"/>
              </w:rPr>
            </w:pPr>
            <w:r>
              <w:rPr>
                <w:rFonts w:ascii="Arial" w:cs="Arial" w:eastAsia="Arial" w:hAnsi="Arial"/>
                <w:sz w:val="18"/>
                <w:szCs w:val="18"/>
                <w:b w:val="1"/>
                <w:bCs w:val="1"/>
                <w:color w:val="auto"/>
              </w:rPr>
              <w:t>33.3</w:t>
            </w:r>
          </w:p>
        </w:tc>
        <w:tc>
          <w:tcPr>
            <w:tcW w:w="2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320" w:type="dxa"/>
            <w:vAlign w:val="bottom"/>
          </w:tcPr>
          <w:p>
            <w:pPr>
              <w:jc w:val="right"/>
              <w:spacing w:after="0"/>
              <w:rPr>
                <w:sz w:val="20"/>
                <w:szCs w:val="20"/>
                <w:color w:val="auto"/>
              </w:rPr>
            </w:pPr>
            <w:r>
              <w:rPr>
                <w:rFonts w:ascii="Arial" w:cs="Arial" w:eastAsia="Arial" w:hAnsi="Arial"/>
                <w:sz w:val="18"/>
                <w:szCs w:val="18"/>
                <w:b w:val="1"/>
                <w:bCs w:val="1"/>
                <w:color w:val="auto"/>
                <w:w w:val="85"/>
              </w:rPr>
              <w:t>33.3</w:t>
            </w:r>
          </w:p>
        </w:tc>
        <w:tc>
          <w:tcPr>
            <w:tcW w:w="460" w:type="dxa"/>
            <w:vAlign w:val="bottom"/>
            <w:gridSpan w:val="2"/>
          </w:tcPr>
          <w:p>
            <w:pPr>
              <w:ind w:left="300"/>
              <w:spacing w:after="0"/>
              <w:rPr>
                <w:sz w:val="20"/>
                <w:szCs w:val="20"/>
                <w:color w:val="auto"/>
              </w:rPr>
            </w:pPr>
            <w:r>
              <w:rPr>
                <w:rFonts w:ascii="Arial" w:cs="Arial" w:eastAsia="Arial" w:hAnsi="Arial"/>
                <w:sz w:val="18"/>
                <w:szCs w:val="18"/>
                <w:b w:val="1"/>
                <w:bCs w:val="1"/>
                <w:color w:val="auto"/>
              </w:rPr>
              <w:t>$</w:t>
            </w:r>
          </w:p>
        </w:tc>
        <w:tc>
          <w:tcPr>
            <w:tcW w:w="380" w:type="dxa"/>
            <w:vAlign w:val="bottom"/>
          </w:tcPr>
          <w:p>
            <w:pPr>
              <w:jc w:val="right"/>
              <w:spacing w:after="0"/>
              <w:rPr>
                <w:sz w:val="20"/>
                <w:szCs w:val="20"/>
                <w:color w:val="auto"/>
              </w:rPr>
            </w:pPr>
            <w:r>
              <w:rPr>
                <w:rFonts w:ascii="Arial" w:cs="Arial" w:eastAsia="Arial" w:hAnsi="Arial"/>
                <w:sz w:val="18"/>
                <w:szCs w:val="18"/>
                <w:b w:val="1"/>
                <w:bCs w:val="1"/>
                <w:color w:val="auto"/>
              </w:rPr>
              <w:t>60.4</w:t>
            </w:r>
          </w:p>
        </w:tc>
        <w:tc>
          <w:tcPr>
            <w:tcW w:w="2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320" w:type="dxa"/>
            <w:vAlign w:val="bottom"/>
          </w:tcPr>
          <w:p>
            <w:pPr>
              <w:jc w:val="right"/>
              <w:spacing w:after="0"/>
              <w:rPr>
                <w:sz w:val="20"/>
                <w:szCs w:val="20"/>
                <w:color w:val="auto"/>
              </w:rPr>
            </w:pPr>
            <w:r>
              <w:rPr>
                <w:rFonts w:ascii="Arial" w:cs="Arial" w:eastAsia="Arial" w:hAnsi="Arial"/>
                <w:sz w:val="18"/>
                <w:szCs w:val="18"/>
                <w:b w:val="1"/>
                <w:bCs w:val="1"/>
                <w:color w:val="auto"/>
                <w:w w:val="85"/>
              </w:rPr>
              <w:t>60.4</w:t>
            </w:r>
          </w:p>
        </w:tc>
        <w:tc>
          <w:tcPr>
            <w:tcW w:w="300" w:type="dxa"/>
            <w:vAlign w:val="bottom"/>
          </w:tcPr>
          <w:p>
            <w:pPr>
              <w:spacing w:after="0"/>
              <w:rPr>
                <w:sz w:val="18"/>
                <w:szCs w:val="18"/>
                <w:color w:val="auto"/>
              </w:rPr>
            </w:pPr>
          </w:p>
        </w:tc>
        <w:tc>
          <w:tcPr>
            <w:tcW w:w="680" w:type="dxa"/>
            <w:vAlign w:val="bottom"/>
            <w:gridSpan w:val="2"/>
          </w:tcPr>
          <w:p>
            <w:pPr>
              <w:ind w:left="60"/>
              <w:spacing w:after="0"/>
              <w:rPr>
                <w:sz w:val="20"/>
                <w:szCs w:val="20"/>
                <w:color w:val="auto"/>
              </w:rPr>
            </w:pPr>
            <w:r>
              <w:rPr>
                <w:rFonts w:ascii="Arial" w:cs="Arial" w:eastAsia="Arial" w:hAnsi="Arial"/>
                <w:sz w:val="18"/>
                <w:szCs w:val="18"/>
                <w:color w:val="auto"/>
              </w:rPr>
              <w:t>Level 1</w:t>
            </w:r>
          </w:p>
        </w:tc>
        <w:tc>
          <w:tcPr>
            <w:tcW w:w="0" w:type="dxa"/>
            <w:vAlign w:val="bottom"/>
          </w:tcPr>
          <w:p>
            <w:pPr>
              <w:spacing w:after="0"/>
              <w:rPr>
                <w:sz w:val="1"/>
                <w:szCs w:val="1"/>
                <w:color w:val="auto"/>
              </w:rPr>
            </w:pPr>
          </w:p>
        </w:tc>
      </w:tr>
      <w:tr>
        <w:trPr>
          <w:trHeight w:val="216"/>
        </w:trPr>
        <w:tc>
          <w:tcPr>
            <w:tcW w:w="7660" w:type="dxa"/>
            <w:vAlign w:val="bottom"/>
            <w:shd w:val="clear" w:color="auto" w:fill="CCEEFF"/>
          </w:tcPr>
          <w:p>
            <w:pPr>
              <w:spacing w:after="0"/>
              <w:rPr>
                <w:sz w:val="20"/>
                <w:szCs w:val="20"/>
                <w:color w:val="auto"/>
              </w:rPr>
            </w:pPr>
            <w:r>
              <w:rPr>
                <w:rFonts w:ascii="Arial" w:cs="Arial" w:eastAsia="Arial" w:hAnsi="Arial"/>
                <w:sz w:val="18"/>
                <w:szCs w:val="18"/>
                <w:color w:val="auto"/>
              </w:rPr>
              <w:t>Cash equivalents</w:t>
            </w:r>
          </w:p>
        </w:tc>
        <w:tc>
          <w:tcPr>
            <w:tcW w:w="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69.1</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5"/>
              </w:rPr>
              <w:t>69.1</w:t>
            </w:r>
          </w:p>
        </w:tc>
        <w:tc>
          <w:tcPr>
            <w:tcW w:w="460" w:type="dxa"/>
            <w:vAlign w:val="bottom"/>
            <w:gridSpan w:val="2"/>
            <w:shd w:val="clear" w:color="auto" w:fill="CCEEFF"/>
          </w:tcPr>
          <w:p>
            <w:pPr>
              <w:ind w:left="300"/>
              <w:spacing w:after="0"/>
              <w:rPr>
                <w:sz w:val="20"/>
                <w:szCs w:val="20"/>
                <w:color w:val="auto"/>
              </w:rPr>
            </w:pPr>
            <w:r>
              <w:rPr>
                <w:rFonts w:ascii="Arial" w:cs="Arial" w:eastAsia="Arial" w:hAnsi="Arial"/>
                <w:sz w:val="18"/>
                <w:szCs w:val="18"/>
                <w:b w:val="1"/>
                <w:bCs w:val="1"/>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81.3</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5"/>
              </w:rPr>
              <w:t>81.3</w:t>
            </w:r>
          </w:p>
        </w:tc>
        <w:tc>
          <w:tcPr>
            <w:tcW w:w="3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Level 1</w:t>
            </w:r>
          </w:p>
        </w:tc>
        <w:tc>
          <w:tcPr>
            <w:tcW w:w="0" w:type="dxa"/>
            <w:vAlign w:val="bottom"/>
          </w:tcPr>
          <w:p>
            <w:pPr>
              <w:spacing w:after="0"/>
              <w:rPr>
                <w:sz w:val="1"/>
                <w:szCs w:val="1"/>
                <w:color w:val="auto"/>
              </w:rPr>
            </w:pPr>
          </w:p>
        </w:tc>
      </w:tr>
      <w:tr>
        <w:trPr>
          <w:trHeight w:val="216"/>
        </w:trPr>
        <w:tc>
          <w:tcPr>
            <w:tcW w:w="7660" w:type="dxa"/>
            <w:vAlign w:val="bottom"/>
          </w:tcPr>
          <w:p>
            <w:pPr>
              <w:spacing w:after="0"/>
              <w:rPr>
                <w:sz w:val="20"/>
                <w:szCs w:val="20"/>
                <w:color w:val="auto"/>
              </w:rPr>
            </w:pPr>
            <w:r>
              <w:rPr>
                <w:rFonts w:ascii="Arial" w:cs="Arial" w:eastAsia="Arial" w:hAnsi="Arial"/>
                <w:sz w:val="18"/>
                <w:szCs w:val="18"/>
                <w:color w:val="auto"/>
              </w:rPr>
              <w:t>Foreign exchange forward contracts</w:t>
            </w:r>
          </w:p>
        </w:tc>
        <w:tc>
          <w:tcPr>
            <w:tcW w:w="160" w:type="dxa"/>
            <w:vAlign w:val="bottom"/>
          </w:tcPr>
          <w:p>
            <w:pPr>
              <w:spacing w:after="0"/>
              <w:rPr>
                <w:sz w:val="20"/>
                <w:szCs w:val="20"/>
                <w:color w:val="auto"/>
              </w:rPr>
            </w:pPr>
            <w:r>
              <w:rPr>
                <w:rFonts w:ascii="Arial" w:cs="Arial" w:eastAsia="Arial" w:hAnsi="Arial"/>
                <w:sz w:val="18"/>
                <w:szCs w:val="18"/>
                <w:b w:val="1"/>
                <w:bCs w:val="1"/>
                <w:color w:val="auto"/>
              </w:rPr>
              <w:t>$</w:t>
            </w:r>
          </w:p>
        </w:tc>
        <w:tc>
          <w:tcPr>
            <w:tcW w:w="380" w:type="dxa"/>
            <w:vAlign w:val="bottom"/>
          </w:tcPr>
          <w:p>
            <w:pPr>
              <w:jc w:val="right"/>
              <w:spacing w:after="0"/>
              <w:rPr>
                <w:sz w:val="20"/>
                <w:szCs w:val="20"/>
                <w:color w:val="auto"/>
              </w:rPr>
            </w:pPr>
            <w:r>
              <w:rPr>
                <w:rFonts w:ascii="Arial" w:cs="Arial" w:eastAsia="Arial" w:hAnsi="Arial"/>
                <w:sz w:val="18"/>
                <w:szCs w:val="18"/>
                <w:b w:val="1"/>
                <w:bCs w:val="1"/>
                <w:color w:val="auto"/>
              </w:rPr>
              <w:t>0.3</w:t>
            </w:r>
          </w:p>
        </w:tc>
        <w:tc>
          <w:tcPr>
            <w:tcW w:w="2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320" w:type="dxa"/>
            <w:vAlign w:val="bottom"/>
          </w:tcPr>
          <w:p>
            <w:pPr>
              <w:jc w:val="right"/>
              <w:spacing w:after="0"/>
              <w:rPr>
                <w:sz w:val="20"/>
                <w:szCs w:val="20"/>
                <w:color w:val="auto"/>
              </w:rPr>
            </w:pPr>
            <w:r>
              <w:rPr>
                <w:rFonts w:ascii="Arial" w:cs="Arial" w:eastAsia="Arial" w:hAnsi="Arial"/>
                <w:sz w:val="18"/>
                <w:szCs w:val="18"/>
                <w:b w:val="1"/>
                <w:bCs w:val="1"/>
                <w:color w:val="auto"/>
              </w:rPr>
              <w:t>0.3</w:t>
            </w:r>
          </w:p>
        </w:tc>
        <w:tc>
          <w:tcPr>
            <w:tcW w:w="460" w:type="dxa"/>
            <w:vAlign w:val="bottom"/>
            <w:gridSpan w:val="2"/>
          </w:tcPr>
          <w:p>
            <w:pPr>
              <w:ind w:left="300"/>
              <w:spacing w:after="0"/>
              <w:rPr>
                <w:sz w:val="20"/>
                <w:szCs w:val="20"/>
                <w:color w:val="auto"/>
              </w:rPr>
            </w:pPr>
            <w:r>
              <w:rPr>
                <w:rFonts w:ascii="Arial" w:cs="Arial" w:eastAsia="Arial" w:hAnsi="Arial"/>
                <w:sz w:val="18"/>
                <w:szCs w:val="18"/>
                <w:b w:val="1"/>
                <w:bCs w:val="1"/>
                <w:color w:val="auto"/>
              </w:rPr>
              <w:t>$</w:t>
            </w:r>
          </w:p>
        </w:tc>
        <w:tc>
          <w:tcPr>
            <w:tcW w:w="380" w:type="dxa"/>
            <w:vAlign w:val="bottom"/>
          </w:tcPr>
          <w:p>
            <w:pPr>
              <w:jc w:val="right"/>
              <w:spacing w:after="0"/>
              <w:rPr>
                <w:sz w:val="20"/>
                <w:szCs w:val="20"/>
                <w:color w:val="auto"/>
              </w:rPr>
            </w:pPr>
            <w:r>
              <w:rPr>
                <w:rFonts w:ascii="Arial" w:cs="Arial" w:eastAsia="Arial" w:hAnsi="Arial"/>
                <w:sz w:val="18"/>
                <w:szCs w:val="18"/>
                <w:b w:val="1"/>
                <w:bCs w:val="1"/>
                <w:color w:val="auto"/>
              </w:rPr>
              <w:t>0.1</w:t>
            </w:r>
          </w:p>
        </w:tc>
        <w:tc>
          <w:tcPr>
            <w:tcW w:w="2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320" w:type="dxa"/>
            <w:vAlign w:val="bottom"/>
          </w:tcPr>
          <w:p>
            <w:pPr>
              <w:jc w:val="right"/>
              <w:spacing w:after="0"/>
              <w:rPr>
                <w:sz w:val="20"/>
                <w:szCs w:val="20"/>
                <w:color w:val="auto"/>
              </w:rPr>
            </w:pPr>
            <w:r>
              <w:rPr>
                <w:rFonts w:ascii="Arial" w:cs="Arial" w:eastAsia="Arial" w:hAnsi="Arial"/>
                <w:sz w:val="18"/>
                <w:szCs w:val="18"/>
                <w:b w:val="1"/>
                <w:bCs w:val="1"/>
                <w:color w:val="auto"/>
              </w:rPr>
              <w:t>0.1</w:t>
            </w:r>
          </w:p>
        </w:tc>
        <w:tc>
          <w:tcPr>
            <w:tcW w:w="300" w:type="dxa"/>
            <w:vAlign w:val="bottom"/>
          </w:tcPr>
          <w:p>
            <w:pPr>
              <w:spacing w:after="0"/>
              <w:rPr>
                <w:sz w:val="18"/>
                <w:szCs w:val="18"/>
                <w:color w:val="auto"/>
              </w:rPr>
            </w:pPr>
          </w:p>
        </w:tc>
        <w:tc>
          <w:tcPr>
            <w:tcW w:w="680" w:type="dxa"/>
            <w:vAlign w:val="bottom"/>
            <w:gridSpan w:val="2"/>
          </w:tcPr>
          <w:p>
            <w:pPr>
              <w:ind w:left="60"/>
              <w:spacing w:after="0"/>
              <w:rPr>
                <w:sz w:val="20"/>
                <w:szCs w:val="20"/>
                <w:color w:val="auto"/>
              </w:rPr>
            </w:pPr>
            <w:r>
              <w:rPr>
                <w:rFonts w:ascii="Arial" w:cs="Arial" w:eastAsia="Arial" w:hAnsi="Arial"/>
                <w:sz w:val="18"/>
                <w:szCs w:val="18"/>
                <w:color w:val="auto"/>
              </w:rPr>
              <w:t>Level 2</w:t>
            </w:r>
          </w:p>
        </w:tc>
        <w:tc>
          <w:tcPr>
            <w:tcW w:w="0" w:type="dxa"/>
            <w:vAlign w:val="bottom"/>
          </w:tcPr>
          <w:p>
            <w:pPr>
              <w:spacing w:after="0"/>
              <w:rPr>
                <w:sz w:val="1"/>
                <w:szCs w:val="1"/>
                <w:color w:val="auto"/>
              </w:rPr>
            </w:pPr>
          </w:p>
        </w:tc>
      </w:tr>
      <w:tr>
        <w:trPr>
          <w:trHeight w:val="216"/>
        </w:trPr>
        <w:tc>
          <w:tcPr>
            <w:tcW w:w="7660" w:type="dxa"/>
            <w:vAlign w:val="bottom"/>
            <w:shd w:val="clear" w:color="auto" w:fill="CCEEFF"/>
          </w:tcPr>
          <w:p>
            <w:pPr>
              <w:spacing w:after="0"/>
              <w:rPr>
                <w:sz w:val="20"/>
                <w:szCs w:val="20"/>
                <w:color w:val="auto"/>
              </w:rPr>
            </w:pPr>
            <w:r>
              <w:rPr>
                <w:rFonts w:ascii="Arial" w:cs="Arial" w:eastAsia="Arial" w:hAnsi="Arial"/>
                <w:sz w:val="18"/>
                <w:szCs w:val="18"/>
                <w:color w:val="auto"/>
              </w:rPr>
              <w:t>Financial Liabilities:</w:t>
            </w: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60" w:type="dxa"/>
            <w:vAlign w:val="bottom"/>
          </w:tcPr>
          <w:p>
            <w:pPr>
              <w:spacing w:after="0"/>
              <w:rPr>
                <w:sz w:val="20"/>
                <w:szCs w:val="20"/>
                <w:color w:val="auto"/>
              </w:rPr>
            </w:pPr>
            <w:r>
              <w:rPr>
                <w:rFonts w:ascii="Arial" w:cs="Arial" w:eastAsia="Arial" w:hAnsi="Arial"/>
                <w:sz w:val="18"/>
                <w:szCs w:val="18"/>
                <w:color w:val="auto"/>
              </w:rPr>
              <w:t>Short-term debt</w:t>
            </w:r>
          </w:p>
        </w:tc>
        <w:tc>
          <w:tcPr>
            <w:tcW w:w="160" w:type="dxa"/>
            <w:vAlign w:val="bottom"/>
          </w:tcPr>
          <w:p>
            <w:pPr>
              <w:spacing w:after="0"/>
              <w:rPr>
                <w:sz w:val="20"/>
                <w:szCs w:val="20"/>
                <w:color w:val="auto"/>
              </w:rPr>
            </w:pPr>
            <w:r>
              <w:rPr>
                <w:rFonts w:ascii="Arial" w:cs="Arial" w:eastAsia="Arial" w:hAnsi="Arial"/>
                <w:sz w:val="18"/>
                <w:szCs w:val="18"/>
                <w:b w:val="1"/>
                <w:bCs w:val="1"/>
                <w:color w:val="auto"/>
              </w:rPr>
              <w:t>$</w:t>
            </w:r>
          </w:p>
        </w:tc>
        <w:tc>
          <w:tcPr>
            <w:tcW w:w="380" w:type="dxa"/>
            <w:vAlign w:val="bottom"/>
          </w:tcPr>
          <w:p>
            <w:pPr>
              <w:jc w:val="right"/>
              <w:spacing w:after="0"/>
              <w:rPr>
                <w:sz w:val="20"/>
                <w:szCs w:val="20"/>
                <w:color w:val="auto"/>
              </w:rPr>
            </w:pPr>
            <w:r>
              <w:rPr>
                <w:rFonts w:ascii="Arial" w:cs="Arial" w:eastAsia="Arial" w:hAnsi="Arial"/>
                <w:sz w:val="18"/>
                <w:szCs w:val="18"/>
                <w:b w:val="1"/>
                <w:bCs w:val="1"/>
                <w:color w:val="auto"/>
              </w:rPr>
              <w:t>6.0</w:t>
            </w:r>
          </w:p>
        </w:tc>
        <w:tc>
          <w:tcPr>
            <w:tcW w:w="2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320" w:type="dxa"/>
            <w:vAlign w:val="bottom"/>
          </w:tcPr>
          <w:p>
            <w:pPr>
              <w:jc w:val="right"/>
              <w:spacing w:after="0"/>
              <w:rPr>
                <w:sz w:val="20"/>
                <w:szCs w:val="20"/>
                <w:color w:val="auto"/>
              </w:rPr>
            </w:pPr>
            <w:r>
              <w:rPr>
                <w:rFonts w:ascii="Arial" w:cs="Arial" w:eastAsia="Arial" w:hAnsi="Arial"/>
                <w:sz w:val="18"/>
                <w:szCs w:val="18"/>
                <w:b w:val="1"/>
                <w:bCs w:val="1"/>
                <w:color w:val="auto"/>
              </w:rPr>
              <w:t>6.0</w:t>
            </w:r>
          </w:p>
        </w:tc>
        <w:tc>
          <w:tcPr>
            <w:tcW w:w="460" w:type="dxa"/>
            <w:vAlign w:val="bottom"/>
            <w:gridSpan w:val="2"/>
          </w:tcPr>
          <w:p>
            <w:pPr>
              <w:ind w:left="300"/>
              <w:spacing w:after="0"/>
              <w:rPr>
                <w:sz w:val="20"/>
                <w:szCs w:val="20"/>
                <w:color w:val="auto"/>
              </w:rPr>
            </w:pPr>
            <w:r>
              <w:rPr>
                <w:rFonts w:ascii="Arial" w:cs="Arial" w:eastAsia="Arial" w:hAnsi="Arial"/>
                <w:sz w:val="18"/>
                <w:szCs w:val="18"/>
                <w:b w:val="1"/>
                <w:bCs w:val="1"/>
                <w:color w:val="auto"/>
              </w:rPr>
              <w:t>$</w:t>
            </w:r>
          </w:p>
        </w:tc>
        <w:tc>
          <w:tcPr>
            <w:tcW w:w="380" w:type="dxa"/>
            <w:vAlign w:val="bottom"/>
          </w:tcPr>
          <w:p>
            <w:pPr>
              <w:jc w:val="right"/>
              <w:spacing w:after="0"/>
              <w:rPr>
                <w:sz w:val="20"/>
                <w:szCs w:val="20"/>
                <w:color w:val="auto"/>
              </w:rPr>
            </w:pPr>
            <w:r>
              <w:rPr>
                <w:rFonts w:ascii="Arial" w:cs="Arial" w:eastAsia="Arial" w:hAnsi="Arial"/>
                <w:sz w:val="18"/>
                <w:szCs w:val="18"/>
                <w:b w:val="1"/>
                <w:bCs w:val="1"/>
                <w:color w:val="auto"/>
              </w:rPr>
              <w:t>5.0</w:t>
            </w:r>
          </w:p>
        </w:tc>
        <w:tc>
          <w:tcPr>
            <w:tcW w:w="2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320" w:type="dxa"/>
            <w:vAlign w:val="bottom"/>
          </w:tcPr>
          <w:p>
            <w:pPr>
              <w:jc w:val="right"/>
              <w:spacing w:after="0"/>
              <w:rPr>
                <w:sz w:val="20"/>
                <w:szCs w:val="20"/>
                <w:color w:val="auto"/>
              </w:rPr>
            </w:pPr>
            <w:r>
              <w:rPr>
                <w:rFonts w:ascii="Arial" w:cs="Arial" w:eastAsia="Arial" w:hAnsi="Arial"/>
                <w:sz w:val="18"/>
                <w:szCs w:val="18"/>
                <w:b w:val="1"/>
                <w:bCs w:val="1"/>
                <w:color w:val="auto"/>
              </w:rPr>
              <w:t>5.0</w:t>
            </w:r>
          </w:p>
        </w:tc>
        <w:tc>
          <w:tcPr>
            <w:tcW w:w="300" w:type="dxa"/>
            <w:vAlign w:val="bottom"/>
          </w:tcPr>
          <w:p>
            <w:pPr>
              <w:spacing w:after="0"/>
              <w:rPr>
                <w:sz w:val="18"/>
                <w:szCs w:val="18"/>
                <w:color w:val="auto"/>
              </w:rPr>
            </w:pPr>
          </w:p>
        </w:tc>
        <w:tc>
          <w:tcPr>
            <w:tcW w:w="680" w:type="dxa"/>
            <w:vAlign w:val="bottom"/>
            <w:gridSpan w:val="2"/>
          </w:tcPr>
          <w:p>
            <w:pPr>
              <w:ind w:left="60"/>
              <w:spacing w:after="0"/>
              <w:rPr>
                <w:sz w:val="20"/>
                <w:szCs w:val="20"/>
                <w:color w:val="auto"/>
              </w:rPr>
            </w:pPr>
            <w:r>
              <w:rPr>
                <w:rFonts w:ascii="Arial" w:cs="Arial" w:eastAsia="Arial" w:hAnsi="Arial"/>
                <w:sz w:val="18"/>
                <w:szCs w:val="18"/>
                <w:color w:val="auto"/>
              </w:rPr>
              <w:t>Level 2</w:t>
            </w:r>
          </w:p>
        </w:tc>
        <w:tc>
          <w:tcPr>
            <w:tcW w:w="0" w:type="dxa"/>
            <w:vAlign w:val="bottom"/>
          </w:tcPr>
          <w:p>
            <w:pPr>
              <w:spacing w:after="0"/>
              <w:rPr>
                <w:sz w:val="1"/>
                <w:szCs w:val="1"/>
                <w:color w:val="auto"/>
              </w:rPr>
            </w:pPr>
          </w:p>
        </w:tc>
      </w:tr>
      <w:tr>
        <w:trPr>
          <w:trHeight w:val="216"/>
        </w:trPr>
        <w:tc>
          <w:tcPr>
            <w:tcW w:w="7660" w:type="dxa"/>
            <w:vAlign w:val="bottom"/>
            <w:shd w:val="clear" w:color="auto" w:fill="CCEEFF"/>
          </w:tcPr>
          <w:p>
            <w:pPr>
              <w:spacing w:after="0"/>
              <w:rPr>
                <w:sz w:val="20"/>
                <w:szCs w:val="20"/>
                <w:color w:val="auto"/>
              </w:rPr>
            </w:pPr>
            <w:r>
              <w:rPr>
                <w:rFonts w:ascii="Arial" w:cs="Arial" w:eastAsia="Arial" w:hAnsi="Arial"/>
                <w:sz w:val="18"/>
                <w:szCs w:val="18"/>
                <w:color w:val="auto"/>
              </w:rPr>
              <w:t>Redeemable preference shares</w:t>
            </w:r>
          </w:p>
        </w:tc>
        <w:tc>
          <w:tcPr>
            <w:tcW w:w="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8.3</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8.3</w:t>
            </w:r>
          </w:p>
        </w:tc>
        <w:tc>
          <w:tcPr>
            <w:tcW w:w="460" w:type="dxa"/>
            <w:vAlign w:val="bottom"/>
            <w:gridSpan w:val="2"/>
            <w:shd w:val="clear" w:color="auto" w:fill="CCEEFF"/>
          </w:tcPr>
          <w:p>
            <w:pPr>
              <w:ind w:left="300"/>
              <w:spacing w:after="0"/>
              <w:rPr>
                <w:sz w:val="20"/>
                <w:szCs w:val="20"/>
                <w:color w:val="auto"/>
              </w:rPr>
            </w:pPr>
            <w:r>
              <w:rPr>
                <w:rFonts w:ascii="Arial" w:cs="Arial" w:eastAsia="Arial" w:hAnsi="Arial"/>
                <w:sz w:val="18"/>
                <w:szCs w:val="18"/>
                <w:b w:val="1"/>
                <w:bCs w:val="1"/>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8.3</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8.3</w:t>
            </w:r>
          </w:p>
        </w:tc>
        <w:tc>
          <w:tcPr>
            <w:tcW w:w="3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Level 3</w:t>
            </w:r>
          </w:p>
        </w:tc>
        <w:tc>
          <w:tcPr>
            <w:tcW w:w="0" w:type="dxa"/>
            <w:vAlign w:val="bottom"/>
          </w:tcPr>
          <w:p>
            <w:pPr>
              <w:spacing w:after="0"/>
              <w:rPr>
                <w:sz w:val="1"/>
                <w:szCs w:val="1"/>
                <w:color w:val="auto"/>
              </w:rPr>
            </w:pPr>
          </w:p>
        </w:tc>
      </w:tr>
      <w:tr>
        <w:trPr>
          <w:trHeight w:val="228"/>
        </w:trPr>
        <w:tc>
          <w:tcPr>
            <w:tcW w:w="7660" w:type="dxa"/>
            <w:vAlign w:val="bottom"/>
          </w:tcPr>
          <w:p>
            <w:pPr>
              <w:spacing w:after="0"/>
              <w:rPr>
                <w:sz w:val="20"/>
                <w:szCs w:val="20"/>
                <w:color w:val="auto"/>
              </w:rPr>
            </w:pPr>
            <w:r>
              <w:rPr>
                <w:rFonts w:ascii="Arial" w:cs="Arial" w:eastAsia="Arial" w:hAnsi="Arial"/>
                <w:sz w:val="18"/>
                <w:szCs w:val="18"/>
                <w:color w:val="auto"/>
              </w:rPr>
              <w:t>Foreign exchange forward contracts</w:t>
            </w:r>
          </w:p>
        </w:tc>
        <w:tc>
          <w:tcPr>
            <w:tcW w:w="160" w:type="dxa"/>
            <w:vAlign w:val="bottom"/>
          </w:tcPr>
          <w:p>
            <w:pPr>
              <w:spacing w:after="0"/>
              <w:rPr>
                <w:sz w:val="20"/>
                <w:szCs w:val="20"/>
                <w:color w:val="auto"/>
              </w:rPr>
            </w:pPr>
            <w:r>
              <w:rPr>
                <w:rFonts w:ascii="Arial" w:cs="Arial" w:eastAsia="Arial" w:hAnsi="Arial"/>
                <w:sz w:val="18"/>
                <w:szCs w:val="18"/>
                <w:b w:val="1"/>
                <w:bCs w:val="1"/>
                <w:color w:val="auto"/>
              </w:rPr>
              <w:t>$</w:t>
            </w:r>
          </w:p>
        </w:tc>
        <w:tc>
          <w:tcPr>
            <w:tcW w:w="380" w:type="dxa"/>
            <w:vAlign w:val="bottom"/>
          </w:tcPr>
          <w:p>
            <w:pPr>
              <w:jc w:val="right"/>
              <w:spacing w:after="0"/>
              <w:rPr>
                <w:sz w:val="20"/>
                <w:szCs w:val="20"/>
                <w:color w:val="auto"/>
              </w:rPr>
            </w:pPr>
            <w:r>
              <w:rPr>
                <w:rFonts w:ascii="Arial" w:cs="Arial" w:eastAsia="Arial" w:hAnsi="Arial"/>
                <w:sz w:val="18"/>
                <w:szCs w:val="18"/>
                <w:b w:val="1"/>
                <w:bCs w:val="1"/>
                <w:color w:val="auto"/>
              </w:rPr>
              <w:t>0.1</w:t>
            </w:r>
          </w:p>
        </w:tc>
        <w:tc>
          <w:tcPr>
            <w:tcW w:w="28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320" w:type="dxa"/>
            <w:vAlign w:val="bottom"/>
          </w:tcPr>
          <w:p>
            <w:pPr>
              <w:jc w:val="right"/>
              <w:spacing w:after="0"/>
              <w:rPr>
                <w:sz w:val="20"/>
                <w:szCs w:val="20"/>
                <w:color w:val="auto"/>
              </w:rPr>
            </w:pPr>
            <w:r>
              <w:rPr>
                <w:rFonts w:ascii="Arial" w:cs="Arial" w:eastAsia="Arial" w:hAnsi="Arial"/>
                <w:sz w:val="18"/>
                <w:szCs w:val="18"/>
                <w:b w:val="1"/>
                <w:bCs w:val="1"/>
                <w:color w:val="auto"/>
              </w:rPr>
              <w:t>0.1</w:t>
            </w:r>
          </w:p>
        </w:tc>
        <w:tc>
          <w:tcPr>
            <w:tcW w:w="460" w:type="dxa"/>
            <w:vAlign w:val="bottom"/>
            <w:gridSpan w:val="2"/>
          </w:tcPr>
          <w:p>
            <w:pPr>
              <w:ind w:left="300"/>
              <w:spacing w:after="0"/>
              <w:rPr>
                <w:sz w:val="20"/>
                <w:szCs w:val="20"/>
                <w:color w:val="auto"/>
              </w:rPr>
            </w:pPr>
            <w:r>
              <w:rPr>
                <w:rFonts w:ascii="Arial" w:cs="Arial" w:eastAsia="Arial" w:hAnsi="Arial"/>
                <w:sz w:val="18"/>
                <w:szCs w:val="18"/>
                <w:b w:val="1"/>
                <w:bCs w:val="1"/>
                <w:color w:val="auto"/>
              </w:rPr>
              <w:t>$</w:t>
            </w:r>
          </w:p>
        </w:tc>
        <w:tc>
          <w:tcPr>
            <w:tcW w:w="380" w:type="dxa"/>
            <w:vAlign w:val="bottom"/>
          </w:tcPr>
          <w:p>
            <w:pPr>
              <w:jc w:val="right"/>
              <w:spacing w:after="0"/>
              <w:rPr>
                <w:sz w:val="20"/>
                <w:szCs w:val="20"/>
                <w:color w:val="auto"/>
              </w:rPr>
            </w:pPr>
            <w:r>
              <w:rPr>
                <w:rFonts w:ascii="Arial" w:cs="Arial" w:eastAsia="Arial" w:hAnsi="Arial"/>
                <w:sz w:val="18"/>
                <w:szCs w:val="18"/>
                <w:b w:val="1"/>
                <w:bCs w:val="1"/>
                <w:color w:val="auto"/>
              </w:rPr>
              <w:t>0.1</w:t>
            </w:r>
          </w:p>
        </w:tc>
        <w:tc>
          <w:tcPr>
            <w:tcW w:w="28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320" w:type="dxa"/>
            <w:vAlign w:val="bottom"/>
          </w:tcPr>
          <w:p>
            <w:pPr>
              <w:jc w:val="right"/>
              <w:spacing w:after="0"/>
              <w:rPr>
                <w:sz w:val="20"/>
                <w:szCs w:val="20"/>
                <w:color w:val="auto"/>
              </w:rPr>
            </w:pPr>
            <w:r>
              <w:rPr>
                <w:rFonts w:ascii="Arial" w:cs="Arial" w:eastAsia="Arial" w:hAnsi="Arial"/>
                <w:sz w:val="18"/>
                <w:szCs w:val="18"/>
                <w:b w:val="1"/>
                <w:bCs w:val="1"/>
                <w:color w:val="auto"/>
              </w:rPr>
              <w:t>0.1</w:t>
            </w:r>
          </w:p>
        </w:tc>
        <w:tc>
          <w:tcPr>
            <w:tcW w:w="300" w:type="dxa"/>
            <w:vAlign w:val="bottom"/>
          </w:tcPr>
          <w:p>
            <w:pPr>
              <w:spacing w:after="0"/>
              <w:rPr>
                <w:sz w:val="19"/>
                <w:szCs w:val="19"/>
                <w:color w:val="auto"/>
              </w:rPr>
            </w:pPr>
          </w:p>
        </w:tc>
        <w:tc>
          <w:tcPr>
            <w:tcW w:w="680" w:type="dxa"/>
            <w:vAlign w:val="bottom"/>
            <w:gridSpan w:val="2"/>
          </w:tcPr>
          <w:p>
            <w:pPr>
              <w:ind w:left="60"/>
              <w:spacing w:after="0"/>
              <w:rPr>
                <w:sz w:val="20"/>
                <w:szCs w:val="20"/>
                <w:color w:val="auto"/>
              </w:rPr>
            </w:pPr>
            <w:r>
              <w:rPr>
                <w:rFonts w:ascii="Arial" w:cs="Arial" w:eastAsia="Arial" w:hAnsi="Arial"/>
                <w:sz w:val="18"/>
                <w:szCs w:val="18"/>
                <w:color w:val="auto"/>
              </w:rPr>
              <w:t>Level 2</w:t>
            </w:r>
          </w:p>
        </w:tc>
        <w:tc>
          <w:tcPr>
            <w:tcW w:w="0" w:type="dxa"/>
            <w:vAlign w:val="bottom"/>
          </w:tcPr>
          <w:p>
            <w:pPr>
              <w:spacing w:after="0"/>
              <w:rPr>
                <w:sz w:val="1"/>
                <w:szCs w:val="1"/>
                <w:color w:val="auto"/>
              </w:rPr>
            </w:pPr>
          </w:p>
        </w:tc>
      </w:tr>
    </w:tbl>
    <w:p>
      <w:pPr>
        <w:spacing w:after="0" w:line="141" w:lineRule="exact"/>
        <w:rPr>
          <w:sz w:val="20"/>
          <w:szCs w:val="20"/>
          <w:color w:val="auto"/>
        </w:rPr>
      </w:pPr>
    </w:p>
    <w:p>
      <w:pPr>
        <w:ind w:right="180" w:firstLine="456"/>
        <w:spacing w:after="0" w:line="332" w:lineRule="auto"/>
        <w:rPr>
          <w:sz w:val="20"/>
          <w:szCs w:val="20"/>
          <w:color w:val="auto"/>
        </w:rPr>
      </w:pPr>
      <w:r>
        <w:rPr>
          <w:rFonts w:ascii="Arial" w:cs="Arial" w:eastAsia="Arial" w:hAnsi="Arial"/>
          <w:sz w:val="16"/>
          <w:szCs w:val="16"/>
          <w:color w:val="auto"/>
        </w:rPr>
        <w:t>Our cash equivalents consist primarily of shares in prime money market funds purchased from two major financial institutions. As of December 31, 2010 and July 2, 2010, these money market shares were valued at $1.00 net asset value per share by these financial institutions.</w:t>
      </w:r>
    </w:p>
    <w:p>
      <w:pPr>
        <w:spacing w:after="0" w:line="85" w:lineRule="exact"/>
        <w:rPr>
          <w:sz w:val="20"/>
          <w:szCs w:val="20"/>
          <w:color w:val="auto"/>
        </w:rPr>
      </w:pPr>
    </w:p>
    <w:p>
      <w:pPr>
        <w:ind w:right="400" w:firstLine="456"/>
        <w:spacing w:after="0" w:line="268" w:lineRule="auto"/>
        <w:rPr>
          <w:sz w:val="20"/>
          <w:szCs w:val="20"/>
          <w:color w:val="auto"/>
        </w:rPr>
      </w:pPr>
      <w:r>
        <w:rPr>
          <w:rFonts w:ascii="Arial" w:cs="Arial" w:eastAsia="Arial" w:hAnsi="Arial"/>
          <w:sz w:val="18"/>
          <w:szCs w:val="18"/>
          <w:color w:val="auto"/>
        </w:rPr>
        <w:t>Foreign currency forward contracts are valued using an income approach for the remaining term of the contract based on forward market rates less the contract rate multiplied by the notional amount.</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amortized cost of short-term debt approximates fair value due to the variable interest rate under the arrangement applicable to such debt.</w:t>
      </w:r>
    </w:p>
    <w:p>
      <w:pPr>
        <w:spacing w:after="0" w:line="194"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We have valued our redeemable preference shares at face value as of December 31, 2010 and July 2, 2010 due to the existence of a put option one of the holders has with our former majority shareholder Harris, our current intent not to redeem these shares before their stated termination date and the non-existence of a market for comparable financial instruments.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Risk Management, Derivative Financial Instruments and Hedging Activities</w:t>
      </w:r>
    </w:p>
    <w:p>
      <w:pPr>
        <w:spacing w:after="0" w:line="96" w:lineRule="exact"/>
        <w:rPr>
          <w:sz w:val="20"/>
          <w:szCs w:val="20"/>
          <w:color w:val="auto"/>
        </w:rPr>
      </w:pPr>
    </w:p>
    <w:p>
      <w:pPr>
        <w:ind w:right="580" w:firstLine="456"/>
        <w:spacing w:after="0" w:line="259" w:lineRule="auto"/>
        <w:rPr>
          <w:sz w:val="20"/>
          <w:szCs w:val="20"/>
          <w:color w:val="auto"/>
        </w:rPr>
      </w:pPr>
      <w:r>
        <w:rPr>
          <w:rFonts w:ascii="Arial" w:cs="Arial" w:eastAsia="Arial" w:hAnsi="Arial"/>
          <w:sz w:val="18"/>
          <w:szCs w:val="18"/>
          <w:color w:val="auto"/>
        </w:rPr>
        <w:t>We are exposed to global market risks, including the effect of changes in foreign currency exchange rates, and use derivatives to manage financial exposures that occur in the normal course of business. We do not hold or issue derivatives for trading purposes or make speculative investments in foreign currencies.</w:t>
      </w:r>
    </w:p>
    <w:p>
      <w:pPr>
        <w:spacing w:after="0" w:line="140" w:lineRule="exact"/>
        <w:rPr>
          <w:sz w:val="20"/>
          <w:szCs w:val="20"/>
          <w:color w:val="auto"/>
        </w:rPr>
      </w:pPr>
    </w:p>
    <w:p>
      <w:pPr>
        <w:ind w:right="160" w:firstLine="456"/>
        <w:spacing w:after="0" w:line="294" w:lineRule="auto"/>
        <w:rPr>
          <w:sz w:val="20"/>
          <w:szCs w:val="20"/>
          <w:color w:val="auto"/>
        </w:rPr>
      </w:pPr>
      <w:r>
        <w:rPr>
          <w:rFonts w:ascii="Arial" w:cs="Arial" w:eastAsia="Arial" w:hAnsi="Arial"/>
          <w:sz w:val="16"/>
          <w:szCs w:val="16"/>
          <w:color w:val="auto"/>
        </w:rPr>
        <w:t>We formally document all relationships between hedging instruments and hedged items, as well as the risk-management objective and strategy for undertaking hedge transactions. This process includes linking all derivatives to either specific firm commitments or forecasted transactions. We also enter into foreign exchange forward contracts to mitigate the change in fair value of specific assets and liabilities on the balance sheet; these are not designated as hedging instruments. Accordingly, changes in the fair value of hedges of recorded balance sheet positions are recognized immediately in cost of product sales on the consolidated statements of operations together with the transaction gain or loss from the hedged balance sheet position.</w:t>
      </w:r>
    </w:p>
    <w:p>
      <w:pPr>
        <w:spacing w:after="0" w:line="116" w:lineRule="exact"/>
        <w:rPr>
          <w:sz w:val="20"/>
          <w:szCs w:val="20"/>
          <w:color w:val="auto"/>
        </w:rPr>
      </w:pPr>
    </w:p>
    <w:p>
      <w:pPr>
        <w:ind w:right="180" w:firstLine="456"/>
        <w:spacing w:after="0" w:line="306" w:lineRule="auto"/>
        <w:rPr>
          <w:sz w:val="20"/>
          <w:szCs w:val="20"/>
          <w:color w:val="auto"/>
        </w:rPr>
      </w:pPr>
      <w:r>
        <w:rPr>
          <w:rFonts w:ascii="Arial" w:cs="Arial" w:eastAsia="Arial" w:hAnsi="Arial"/>
          <w:sz w:val="16"/>
          <w:szCs w:val="16"/>
          <w:color w:val="auto"/>
        </w:rPr>
        <w:t>Substantially all derivatives outstanding as of December 31, 2010 are designated as cash flow hedges or non-designated hedges of recorded balance sheet positions. All derivatives are recognized on the balance sheet at their fair value. The total notional amount of outstanding derivatives as of December 31, 2010 was $46.5 million, of which $13.2 million were designated as cash flow hedges and $33.3 million were not designated as cash flow hedging instruments.</w:t>
      </w:r>
    </w:p>
    <w:p>
      <w:pPr>
        <w:spacing w:after="0" w:line="107"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As of December 31, 2010, we had 64 foreign currency forward contracts outstanding with a total net notional amount of $19.0 million consisting of 13 different currencies, primarily the Euro, Philippine peso, Polish zloty, Singapore dollar and Republic of South Africa rand.</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45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is a summary by currency of the contract net notional amounts grouped by the underlying foreign currency as of December 31, 2010:</w:t>
      </w:r>
    </w:p>
    <w:p>
      <w:pPr>
        <w:spacing w:after="0" w:line="218"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800" w:type="dxa"/>
            <w:vAlign w:val="bottom"/>
          </w:tcPr>
          <w:p>
            <w:pPr>
              <w:spacing w:after="0"/>
              <w:rPr>
                <w:sz w:val="14"/>
                <w:szCs w:val="14"/>
                <w:color w:val="auto"/>
              </w:rPr>
            </w:pPr>
          </w:p>
        </w:tc>
        <w:tc>
          <w:tcPr>
            <w:tcW w:w="2240" w:type="dxa"/>
            <w:vAlign w:val="bottom"/>
            <w:gridSpan w:val="3"/>
          </w:tcPr>
          <w:p>
            <w:pPr>
              <w:ind w:left="440"/>
              <w:spacing w:after="0"/>
              <w:rPr>
                <w:sz w:val="20"/>
                <w:szCs w:val="20"/>
                <w:color w:val="auto"/>
              </w:rPr>
            </w:pPr>
            <w:r>
              <w:rPr>
                <w:rFonts w:ascii="Arial" w:cs="Arial" w:eastAsia="Arial" w:hAnsi="Arial"/>
                <w:sz w:val="14"/>
                <w:szCs w:val="14"/>
                <w:b w:val="1"/>
                <w:bCs w:val="1"/>
                <w:color w:val="auto"/>
              </w:rPr>
              <w:t>Contract Amount</w:t>
            </w: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Contract</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800" w:type="dxa"/>
            <w:vAlign w:val="bottom"/>
          </w:tcPr>
          <w:p>
            <w:pPr>
              <w:spacing w:after="0"/>
              <w:rPr>
                <w:sz w:val="14"/>
                <w:szCs w:val="14"/>
                <w:color w:val="auto"/>
              </w:rPr>
            </w:pPr>
          </w:p>
        </w:tc>
        <w:tc>
          <w:tcPr>
            <w:tcW w:w="2240" w:type="dxa"/>
            <w:vAlign w:val="bottom"/>
            <w:gridSpan w:val="3"/>
          </w:tcPr>
          <w:p>
            <w:pPr>
              <w:ind w:left="440"/>
              <w:spacing w:after="0"/>
              <w:rPr>
                <w:sz w:val="20"/>
                <w:szCs w:val="20"/>
                <w:color w:val="auto"/>
              </w:rPr>
            </w:pPr>
            <w:r>
              <w:rPr>
                <w:rFonts w:ascii="Arial" w:cs="Arial" w:eastAsia="Arial" w:hAnsi="Arial"/>
                <w:sz w:val="14"/>
                <w:szCs w:val="14"/>
                <w:b w:val="1"/>
                <w:bCs w:val="1"/>
                <w:color w:val="auto"/>
              </w:rPr>
              <w:t>(Local Currency)</w:t>
            </w: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0" w:type="dxa"/>
            <w:vAlign w:val="bottom"/>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tcPr>
          <w:p>
            <w:pPr>
              <w:ind w:left="320"/>
              <w:spacing w:after="0" w:line="142" w:lineRule="exact"/>
              <w:rPr>
                <w:sz w:val="20"/>
                <w:szCs w:val="20"/>
                <w:color w:val="auto"/>
              </w:rPr>
            </w:pPr>
            <w:r>
              <w:rPr>
                <w:rFonts w:ascii="Arial" w:cs="Arial" w:eastAsia="Arial" w:hAnsi="Arial"/>
                <w:sz w:val="14"/>
                <w:szCs w:val="14"/>
                <w:b w:val="1"/>
                <w:bCs w:val="1"/>
                <w:color w:val="auto"/>
                <w:w w:val="86"/>
              </w:rPr>
              <w:t>(In millions)</w:t>
            </w:r>
          </w:p>
        </w:tc>
        <w:tc>
          <w:tcPr>
            <w:tcW w:w="3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4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87"/>
              </w:rPr>
              <w:t>(USD, in millions)</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Euro (“EUR”) net contracts to receive (pay) USD</w:t>
            </w:r>
          </w:p>
        </w:tc>
        <w:tc>
          <w:tcPr>
            <w:tcW w:w="860" w:type="dxa"/>
            <w:vAlign w:val="bottom"/>
            <w:shd w:val="clear" w:color="auto" w:fill="CCEEFF"/>
          </w:tcPr>
          <w:p>
            <w:pPr>
              <w:ind w:left="60"/>
              <w:spacing w:after="0"/>
              <w:rPr>
                <w:sz w:val="20"/>
                <w:szCs w:val="20"/>
                <w:color w:val="auto"/>
              </w:rPr>
            </w:pPr>
            <w:r>
              <w:rPr>
                <w:rFonts w:ascii="Arial" w:cs="Arial" w:eastAsia="Arial" w:hAnsi="Arial"/>
                <w:sz w:val="18"/>
                <w:szCs w:val="18"/>
                <w:color w:val="auto"/>
              </w:rPr>
              <w:t>(EUR)</w:t>
            </w:r>
          </w:p>
        </w:tc>
        <w:tc>
          <w:tcPr>
            <w:tcW w:w="13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b w:val="1"/>
                <w:bCs w:val="1"/>
                <w:color w:val="auto"/>
              </w:rPr>
              <w:t>3.8</w:t>
            </w:r>
          </w:p>
        </w:tc>
        <w:tc>
          <w:tcPr>
            <w:tcW w:w="460" w:type="dxa"/>
            <w:vAlign w:val="bottom"/>
            <w:gridSpan w:val="2"/>
            <w:shd w:val="clear" w:color="auto" w:fill="CCEEFF"/>
          </w:tcPr>
          <w:p>
            <w:pPr>
              <w:ind w:left="300"/>
              <w:spacing w:after="0"/>
              <w:rPr>
                <w:sz w:val="20"/>
                <w:szCs w:val="20"/>
                <w:color w:val="auto"/>
              </w:rPr>
            </w:pPr>
            <w:r>
              <w:rPr>
                <w:rFonts w:ascii="Arial" w:cs="Arial" w:eastAsia="Arial" w:hAnsi="Arial"/>
                <w:sz w:val="18"/>
                <w:szCs w:val="18"/>
                <w:b w:val="1"/>
                <w:bCs w:val="1"/>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tcPr>
          <w:p>
            <w:pPr>
              <w:spacing w:after="0"/>
              <w:rPr>
                <w:sz w:val="20"/>
                <w:szCs w:val="20"/>
                <w:color w:val="auto"/>
              </w:rPr>
            </w:pPr>
            <w:r>
              <w:rPr>
                <w:rFonts w:ascii="Arial" w:cs="Arial" w:eastAsia="Arial" w:hAnsi="Arial"/>
                <w:sz w:val="18"/>
                <w:szCs w:val="18"/>
                <w:color w:val="auto"/>
              </w:rPr>
              <w:t>Philippine peso (“PHP”) net contracts to receive (pay) USD</w:t>
            </w:r>
          </w:p>
        </w:tc>
        <w:tc>
          <w:tcPr>
            <w:tcW w:w="860" w:type="dxa"/>
            <w:vAlign w:val="bottom"/>
          </w:tcPr>
          <w:p>
            <w:pPr>
              <w:ind w:left="80"/>
              <w:spacing w:after="0"/>
              <w:rPr>
                <w:sz w:val="20"/>
                <w:szCs w:val="20"/>
                <w:color w:val="auto"/>
              </w:rPr>
            </w:pPr>
            <w:r>
              <w:rPr>
                <w:rFonts w:ascii="Arial" w:cs="Arial" w:eastAsia="Arial" w:hAnsi="Arial"/>
                <w:sz w:val="18"/>
                <w:szCs w:val="18"/>
                <w:color w:val="auto"/>
              </w:rPr>
              <w:t>(PHP)</w:t>
            </w:r>
          </w:p>
        </w:tc>
        <w:tc>
          <w:tcPr>
            <w:tcW w:w="138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(152.3)</w:t>
            </w:r>
          </w:p>
        </w:tc>
        <w:tc>
          <w:tcPr>
            <w:tcW w:w="460" w:type="dxa"/>
            <w:vAlign w:val="bottom"/>
            <w:gridSpan w:val="2"/>
          </w:tcPr>
          <w:p>
            <w:pPr>
              <w:ind w:left="300"/>
              <w:spacing w:after="0"/>
              <w:rPr>
                <w:sz w:val="20"/>
                <w:szCs w:val="20"/>
                <w:color w:val="auto"/>
              </w:rPr>
            </w:pPr>
            <w:r>
              <w:rPr>
                <w:rFonts w:ascii="Arial" w:cs="Arial" w:eastAsia="Arial" w:hAnsi="Arial"/>
                <w:sz w:val="18"/>
                <w:szCs w:val="18"/>
                <w:b w:val="1"/>
                <w:bCs w:val="1"/>
                <w:color w:val="auto"/>
              </w:rPr>
              <w:t>$</w:t>
            </w:r>
          </w:p>
        </w:tc>
        <w:tc>
          <w:tcPr>
            <w:tcW w:w="98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Polish zloty (“PLN”) net contracts to receive (pay) USD</w:t>
            </w:r>
          </w:p>
        </w:tc>
        <w:tc>
          <w:tcPr>
            <w:tcW w:w="860" w:type="dxa"/>
            <w:vAlign w:val="bottom"/>
            <w:shd w:val="clear" w:color="auto" w:fill="CCEEFF"/>
          </w:tcPr>
          <w:p>
            <w:pPr>
              <w:ind w:left="80"/>
              <w:spacing w:after="0"/>
              <w:rPr>
                <w:sz w:val="20"/>
                <w:szCs w:val="20"/>
                <w:color w:val="auto"/>
              </w:rPr>
            </w:pPr>
            <w:r>
              <w:rPr>
                <w:rFonts w:ascii="Arial" w:cs="Arial" w:eastAsia="Arial" w:hAnsi="Arial"/>
                <w:sz w:val="18"/>
                <w:szCs w:val="18"/>
                <w:color w:val="auto"/>
              </w:rPr>
              <w:t>(PLN)</w:t>
            </w:r>
          </w:p>
        </w:tc>
        <w:tc>
          <w:tcPr>
            <w:tcW w:w="13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b w:val="1"/>
                <w:bCs w:val="1"/>
                <w:color w:val="auto"/>
              </w:rPr>
              <w:t>14.1</w:t>
            </w:r>
          </w:p>
        </w:tc>
        <w:tc>
          <w:tcPr>
            <w:tcW w:w="460" w:type="dxa"/>
            <w:vAlign w:val="bottom"/>
            <w:gridSpan w:val="2"/>
            <w:shd w:val="clear" w:color="auto" w:fill="CCEEFF"/>
          </w:tcPr>
          <w:p>
            <w:pPr>
              <w:ind w:left="300"/>
              <w:spacing w:after="0"/>
              <w:rPr>
                <w:sz w:val="20"/>
                <w:szCs w:val="20"/>
                <w:color w:val="auto"/>
              </w:rPr>
            </w:pPr>
            <w:r>
              <w:rPr>
                <w:rFonts w:ascii="Arial" w:cs="Arial" w:eastAsia="Arial" w:hAnsi="Arial"/>
                <w:sz w:val="18"/>
                <w:szCs w:val="18"/>
                <w:b w:val="1"/>
                <w:bCs w:val="1"/>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tcPr>
          <w:p>
            <w:pPr>
              <w:spacing w:after="0"/>
              <w:rPr>
                <w:sz w:val="20"/>
                <w:szCs w:val="20"/>
                <w:color w:val="auto"/>
              </w:rPr>
            </w:pPr>
            <w:r>
              <w:rPr>
                <w:rFonts w:ascii="Arial" w:cs="Arial" w:eastAsia="Arial" w:hAnsi="Arial"/>
                <w:sz w:val="18"/>
                <w:szCs w:val="18"/>
                <w:color w:val="auto"/>
              </w:rPr>
              <w:t>Singapore dollar (“SGD”) net contracts to receive (pay) USD</w:t>
            </w:r>
          </w:p>
        </w:tc>
        <w:tc>
          <w:tcPr>
            <w:tcW w:w="860" w:type="dxa"/>
            <w:vAlign w:val="bottom"/>
          </w:tcPr>
          <w:p>
            <w:pPr>
              <w:ind w:left="60"/>
              <w:spacing w:after="0"/>
              <w:rPr>
                <w:sz w:val="20"/>
                <w:szCs w:val="20"/>
                <w:color w:val="auto"/>
              </w:rPr>
            </w:pPr>
            <w:r>
              <w:rPr>
                <w:rFonts w:ascii="Arial" w:cs="Arial" w:eastAsia="Arial" w:hAnsi="Arial"/>
                <w:sz w:val="18"/>
                <w:szCs w:val="18"/>
                <w:color w:val="auto"/>
              </w:rPr>
              <w:t>(SGD)</w:t>
            </w:r>
          </w:p>
        </w:tc>
        <w:tc>
          <w:tcPr>
            <w:tcW w:w="138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5.1</w:t>
            </w:r>
          </w:p>
        </w:tc>
        <w:tc>
          <w:tcPr>
            <w:tcW w:w="460" w:type="dxa"/>
            <w:vAlign w:val="bottom"/>
            <w:gridSpan w:val="2"/>
          </w:tcPr>
          <w:p>
            <w:pPr>
              <w:ind w:left="300"/>
              <w:spacing w:after="0"/>
              <w:rPr>
                <w:sz w:val="20"/>
                <w:szCs w:val="20"/>
                <w:color w:val="auto"/>
              </w:rPr>
            </w:pPr>
            <w:r>
              <w:rPr>
                <w:rFonts w:ascii="Arial" w:cs="Arial" w:eastAsia="Arial" w:hAnsi="Arial"/>
                <w:sz w:val="18"/>
                <w:szCs w:val="18"/>
                <w:b w:val="1"/>
                <w:bCs w:val="1"/>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Republic of South Africa rand (“ZAR”) net contracts to receive (pay) USD</w:t>
            </w:r>
          </w:p>
        </w:tc>
        <w:tc>
          <w:tcPr>
            <w:tcW w:w="860" w:type="dxa"/>
            <w:vAlign w:val="bottom"/>
            <w:shd w:val="clear" w:color="auto" w:fill="CCEEFF"/>
          </w:tcPr>
          <w:p>
            <w:pPr>
              <w:ind w:left="60"/>
              <w:spacing w:after="0"/>
              <w:rPr>
                <w:sz w:val="20"/>
                <w:szCs w:val="20"/>
                <w:color w:val="auto"/>
              </w:rPr>
            </w:pPr>
            <w:r>
              <w:rPr>
                <w:rFonts w:ascii="Arial" w:cs="Arial" w:eastAsia="Arial" w:hAnsi="Arial"/>
                <w:sz w:val="18"/>
                <w:szCs w:val="18"/>
                <w:color w:val="auto"/>
              </w:rPr>
              <w:t>(ZAR)</w:t>
            </w:r>
          </w:p>
        </w:tc>
        <w:tc>
          <w:tcPr>
            <w:tcW w:w="13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b w:val="1"/>
                <w:bCs w:val="1"/>
                <w:color w:val="auto"/>
              </w:rPr>
              <w:t>38.6</w:t>
            </w:r>
          </w:p>
        </w:tc>
        <w:tc>
          <w:tcPr>
            <w:tcW w:w="460" w:type="dxa"/>
            <w:vAlign w:val="bottom"/>
            <w:gridSpan w:val="2"/>
            <w:shd w:val="clear" w:color="auto" w:fill="CCEEFF"/>
          </w:tcPr>
          <w:p>
            <w:pPr>
              <w:ind w:left="300"/>
              <w:spacing w:after="0"/>
              <w:rPr>
                <w:sz w:val="20"/>
                <w:szCs w:val="20"/>
                <w:color w:val="auto"/>
              </w:rPr>
            </w:pPr>
            <w:r>
              <w:rPr>
                <w:rFonts w:ascii="Arial" w:cs="Arial" w:eastAsia="Arial" w:hAnsi="Arial"/>
                <w:sz w:val="18"/>
                <w:szCs w:val="18"/>
                <w:b w:val="1"/>
                <w:bCs w:val="1"/>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tcPr>
          <w:p>
            <w:pPr>
              <w:spacing w:after="0"/>
              <w:rPr>
                <w:sz w:val="20"/>
                <w:szCs w:val="20"/>
                <w:color w:val="auto"/>
              </w:rPr>
            </w:pPr>
            <w:r>
              <w:rPr>
                <w:rFonts w:ascii="Arial" w:cs="Arial" w:eastAsia="Arial" w:hAnsi="Arial"/>
                <w:sz w:val="18"/>
                <w:szCs w:val="18"/>
                <w:color w:val="auto"/>
              </w:rPr>
              <w:t>All other currencies net contracts to receive (pay) USD</w:t>
            </w:r>
          </w:p>
        </w:tc>
        <w:tc>
          <w:tcPr>
            <w:tcW w:w="8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60" w:type="dxa"/>
            <w:vAlign w:val="bottom"/>
            <w:gridSpan w:val="2"/>
          </w:tcPr>
          <w:p>
            <w:pPr>
              <w:ind w:left="300"/>
              <w:spacing w:after="0"/>
              <w:rPr>
                <w:sz w:val="20"/>
                <w:szCs w:val="20"/>
                <w:color w:val="auto"/>
              </w:rPr>
            </w:pPr>
            <w:r>
              <w:rPr>
                <w:rFonts w:ascii="Arial" w:cs="Arial" w:eastAsia="Arial" w:hAnsi="Arial"/>
                <w:sz w:val="18"/>
                <w:szCs w:val="18"/>
                <w:b w:val="1"/>
                <w:bCs w:val="1"/>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3.2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8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Total of all currencies</w:t>
            </w:r>
          </w:p>
        </w:tc>
        <w:tc>
          <w:tcPr>
            <w:tcW w:w="8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60" w:type="dxa"/>
            <w:vAlign w:val="bottom"/>
            <w:gridSpan w:val="2"/>
            <w:shd w:val="clear" w:color="auto" w:fill="CCEEFF"/>
          </w:tcPr>
          <w:p>
            <w:pPr>
              <w:ind w:left="300"/>
              <w:spacing w:after="0"/>
              <w:rPr>
                <w:sz w:val="20"/>
                <w:szCs w:val="20"/>
                <w:color w:val="auto"/>
              </w:rPr>
            </w:pPr>
            <w:r>
              <w:rPr>
                <w:rFonts w:ascii="Arial" w:cs="Arial" w:eastAsia="Arial" w:hAnsi="Arial"/>
                <w:sz w:val="18"/>
                <w:szCs w:val="18"/>
                <w:b w:val="1"/>
                <w:bCs w:val="1"/>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19.0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presents the fair value of derivative instruments included within our Consolidated Balance Sheet as of December 31, 2010.</w:t>
      </w:r>
    </w:p>
    <w:p>
      <w:pPr>
        <w:spacing w:after="0" w:line="230"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380" w:type="dxa"/>
            <w:vAlign w:val="bottom"/>
          </w:tcPr>
          <w:p>
            <w:pPr>
              <w:spacing w:after="0"/>
              <w:rPr>
                <w:sz w:val="14"/>
                <w:szCs w:val="14"/>
                <w:color w:val="auto"/>
              </w:rPr>
            </w:pPr>
          </w:p>
        </w:tc>
        <w:tc>
          <w:tcPr>
            <w:tcW w:w="1900" w:type="dxa"/>
            <w:vAlign w:val="bottom"/>
            <w:tcBorders>
              <w:bottom w:val="single" w:sz="8" w:color="auto"/>
            </w:tcBorders>
            <w:gridSpan w:val="2"/>
          </w:tcPr>
          <w:p>
            <w:pPr>
              <w:ind w:left="820"/>
              <w:spacing w:after="0"/>
              <w:rPr>
                <w:sz w:val="20"/>
                <w:szCs w:val="20"/>
                <w:color w:val="auto"/>
              </w:rPr>
            </w:pPr>
            <w:r>
              <w:rPr>
                <w:rFonts w:ascii="Arial" w:cs="Arial" w:eastAsia="Arial" w:hAnsi="Arial"/>
                <w:sz w:val="14"/>
                <w:szCs w:val="14"/>
                <w:b w:val="1"/>
                <w:bCs w:val="1"/>
                <w:color w:val="auto"/>
                <w:w w:val="90"/>
              </w:rPr>
              <w:t>Asset Derivatives</w:t>
            </w:r>
          </w:p>
        </w:tc>
        <w:tc>
          <w:tcPr>
            <w:tcW w:w="1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540" w:type="dxa"/>
            <w:vAlign w:val="bottom"/>
          </w:tcPr>
          <w:p>
            <w:pPr>
              <w:spacing w:after="0"/>
              <w:rPr>
                <w:sz w:val="14"/>
                <w:szCs w:val="14"/>
                <w:color w:val="auto"/>
              </w:rPr>
            </w:pPr>
          </w:p>
        </w:tc>
        <w:tc>
          <w:tcPr>
            <w:tcW w:w="2240" w:type="dxa"/>
            <w:vAlign w:val="bottom"/>
            <w:tcBorders>
              <w:bottom w:val="single" w:sz="8" w:color="auto"/>
            </w:tcBorders>
            <w:gridSpan w:val="2"/>
          </w:tcPr>
          <w:p>
            <w:pPr>
              <w:ind w:left="840"/>
              <w:spacing w:after="0"/>
              <w:rPr>
                <w:sz w:val="20"/>
                <w:szCs w:val="20"/>
                <w:color w:val="auto"/>
              </w:rPr>
            </w:pPr>
            <w:r>
              <w:rPr>
                <w:rFonts w:ascii="Arial" w:cs="Arial" w:eastAsia="Arial" w:hAnsi="Arial"/>
                <w:sz w:val="14"/>
                <w:szCs w:val="14"/>
                <w:b w:val="1"/>
                <w:bCs w:val="1"/>
                <w:color w:val="auto"/>
              </w:rPr>
              <w:t>Liability Derivatives</w:t>
            </w:r>
          </w:p>
        </w:tc>
        <w:tc>
          <w:tcPr>
            <w:tcW w:w="22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4380" w:type="dxa"/>
            <w:vAlign w:val="bottom"/>
          </w:tcPr>
          <w:p>
            <w:pPr>
              <w:spacing w:after="0"/>
              <w:rPr>
                <w:sz w:val="12"/>
                <w:szCs w:val="12"/>
                <w:color w:val="auto"/>
              </w:rPr>
            </w:pPr>
          </w:p>
        </w:tc>
        <w:tc>
          <w:tcPr>
            <w:tcW w:w="1460" w:type="dxa"/>
            <w:vAlign w:val="bottom"/>
            <w:tcBorders>
              <w:bottom w:val="single" w:sz="8" w:color="auto"/>
            </w:tcBorders>
          </w:tcPr>
          <w:p>
            <w:pPr>
              <w:ind w:left="60"/>
              <w:spacing w:after="0" w:line="142" w:lineRule="exact"/>
              <w:rPr>
                <w:sz w:val="20"/>
                <w:szCs w:val="20"/>
                <w:color w:val="auto"/>
              </w:rPr>
            </w:pPr>
            <w:r>
              <w:rPr>
                <w:rFonts w:ascii="Arial" w:cs="Arial" w:eastAsia="Arial" w:hAnsi="Arial"/>
                <w:sz w:val="14"/>
                <w:szCs w:val="14"/>
                <w:b w:val="1"/>
                <w:bCs w:val="1"/>
                <w:color w:val="auto"/>
                <w:w w:val="87"/>
              </w:rPr>
              <w:t>Balance Sheet Location</w:t>
            </w: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89"/>
              </w:rPr>
              <w:t>Fair Value</w:t>
            </w:r>
          </w:p>
        </w:tc>
        <w:tc>
          <w:tcPr>
            <w:tcW w:w="540" w:type="dxa"/>
            <w:vAlign w:val="bottom"/>
          </w:tcPr>
          <w:p>
            <w:pPr>
              <w:spacing w:after="0"/>
              <w:rPr>
                <w:sz w:val="12"/>
                <w:szCs w:val="12"/>
                <w:color w:val="auto"/>
              </w:rPr>
            </w:pPr>
          </w:p>
        </w:tc>
        <w:tc>
          <w:tcPr>
            <w:tcW w:w="1700" w:type="dxa"/>
            <w:vAlign w:val="bottom"/>
            <w:tcBorders>
              <w:bottom w:val="single" w:sz="8" w:color="auto"/>
            </w:tcBorders>
          </w:tcPr>
          <w:p>
            <w:pPr>
              <w:ind w:left="180"/>
              <w:spacing w:after="0" w:line="142" w:lineRule="exact"/>
              <w:rPr>
                <w:sz w:val="20"/>
                <w:szCs w:val="20"/>
                <w:color w:val="auto"/>
              </w:rPr>
            </w:pPr>
            <w:r>
              <w:rPr>
                <w:rFonts w:ascii="Arial" w:cs="Arial" w:eastAsia="Arial" w:hAnsi="Arial"/>
                <w:sz w:val="14"/>
                <w:szCs w:val="14"/>
                <w:b w:val="1"/>
                <w:bCs w:val="1"/>
                <w:color w:val="auto"/>
                <w:w w:val="94"/>
              </w:rPr>
              <w:t>Balance Sheet Location</w:t>
            </w:r>
          </w:p>
        </w:tc>
        <w:tc>
          <w:tcPr>
            <w:tcW w:w="540" w:type="dxa"/>
            <w:vAlign w:val="bottom"/>
          </w:tcPr>
          <w:p>
            <w:pPr>
              <w:spacing w:after="0"/>
              <w:rPr>
                <w:sz w:val="12"/>
                <w:szCs w:val="12"/>
                <w:color w:val="auto"/>
              </w:rPr>
            </w:pPr>
          </w:p>
        </w:tc>
        <w:tc>
          <w:tcPr>
            <w:tcW w:w="600" w:type="dxa"/>
            <w:vAlign w:val="bottom"/>
            <w:tcBorders>
              <w:bottom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86"/>
              </w:rPr>
              <w:t>Fair Value</w:t>
            </w:r>
          </w:p>
        </w:tc>
        <w:tc>
          <w:tcPr>
            <w:tcW w:w="10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438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240" w:type="dxa"/>
            <w:vAlign w:val="bottom"/>
            <w:gridSpan w:val="2"/>
          </w:tcPr>
          <w:p>
            <w:pPr>
              <w:ind w:left="40"/>
              <w:spacing w:after="0" w:line="142" w:lineRule="exact"/>
              <w:rPr>
                <w:sz w:val="20"/>
                <w:szCs w:val="20"/>
                <w:color w:val="auto"/>
              </w:rPr>
            </w:pPr>
            <w:r>
              <w:rPr>
                <w:rFonts w:ascii="Arial" w:cs="Arial" w:eastAsia="Arial" w:hAnsi="Arial"/>
                <w:sz w:val="14"/>
                <w:szCs w:val="14"/>
                <w:b w:val="1"/>
                <w:bCs w:val="1"/>
                <w:color w:val="auto"/>
              </w:rPr>
              <w:t>(In millions)</w:t>
            </w: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Derivatives designated as hedging instruments:</w:t>
            </w:r>
          </w:p>
        </w:tc>
        <w:tc>
          <w:tcPr>
            <w:tcW w:w="14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380" w:type="dxa"/>
            <w:vAlign w:val="bottom"/>
          </w:tcPr>
          <w:p>
            <w:pPr>
              <w:spacing w:after="0"/>
              <w:rPr>
                <w:sz w:val="20"/>
                <w:szCs w:val="20"/>
                <w:color w:val="auto"/>
              </w:rPr>
            </w:pPr>
            <w:r>
              <w:rPr>
                <w:rFonts w:ascii="Arial" w:cs="Arial" w:eastAsia="Arial" w:hAnsi="Arial"/>
                <w:sz w:val="18"/>
                <w:szCs w:val="18"/>
                <w:color w:val="auto"/>
              </w:rPr>
              <w:t>Foreign exchange forward contracts</w:t>
            </w:r>
          </w:p>
        </w:tc>
        <w:tc>
          <w:tcPr>
            <w:tcW w:w="1900" w:type="dxa"/>
            <w:vAlign w:val="bottom"/>
            <w:gridSpan w:val="2"/>
          </w:tcPr>
          <w:p>
            <w:pPr>
              <w:ind w:left="60"/>
              <w:spacing w:after="0"/>
              <w:rPr>
                <w:sz w:val="20"/>
                <w:szCs w:val="20"/>
                <w:color w:val="auto"/>
              </w:rPr>
            </w:pPr>
            <w:r>
              <w:rPr>
                <w:rFonts w:ascii="Arial" w:cs="Arial" w:eastAsia="Arial" w:hAnsi="Arial"/>
                <w:sz w:val="18"/>
                <w:szCs w:val="18"/>
                <w:color w:val="auto"/>
              </w:rPr>
              <w:t>Other current assets</w:t>
            </w:r>
          </w:p>
        </w:tc>
        <w:tc>
          <w:tcPr>
            <w:tcW w:w="340" w:type="dxa"/>
            <w:vAlign w:val="bottom"/>
            <w:gridSpan w:val="2"/>
          </w:tcPr>
          <w:p>
            <w:pPr>
              <w:jc w:val="right"/>
              <w:ind w:right="72"/>
              <w:spacing w:after="0"/>
              <w:rPr>
                <w:sz w:val="20"/>
                <w:szCs w:val="20"/>
                <w:color w:val="auto"/>
              </w:rPr>
            </w:pPr>
            <w:r>
              <w:rPr>
                <w:rFonts w:ascii="Arial" w:cs="Arial" w:eastAsia="Arial" w:hAnsi="Arial"/>
                <w:sz w:val="18"/>
                <w:szCs w:val="18"/>
                <w:b w:val="1"/>
                <w:bCs w:val="1"/>
                <w:color w:val="auto"/>
              </w:rPr>
              <w:t>$</w:t>
            </w:r>
          </w:p>
        </w:tc>
        <w:tc>
          <w:tcPr>
            <w:tcW w:w="380" w:type="dxa"/>
            <w:vAlign w:val="bottom"/>
          </w:tcPr>
          <w:p>
            <w:pPr>
              <w:jc w:val="right"/>
              <w:spacing w:after="0"/>
              <w:rPr>
                <w:sz w:val="20"/>
                <w:szCs w:val="20"/>
                <w:color w:val="auto"/>
              </w:rPr>
            </w:pPr>
            <w:r>
              <w:rPr>
                <w:rFonts w:ascii="Arial" w:cs="Arial" w:eastAsia="Arial" w:hAnsi="Arial"/>
                <w:sz w:val="18"/>
                <w:szCs w:val="18"/>
                <w:b w:val="1"/>
                <w:bCs w:val="1"/>
                <w:color w:val="auto"/>
              </w:rPr>
              <w:t>0.2</w:t>
            </w:r>
          </w:p>
        </w:tc>
        <w:tc>
          <w:tcPr>
            <w:tcW w:w="540" w:type="dxa"/>
            <w:vAlign w:val="bottom"/>
          </w:tcPr>
          <w:p>
            <w:pPr>
              <w:spacing w:after="0"/>
              <w:rPr>
                <w:sz w:val="18"/>
                <w:szCs w:val="18"/>
                <w:color w:val="auto"/>
              </w:rPr>
            </w:pPr>
          </w:p>
        </w:tc>
        <w:tc>
          <w:tcPr>
            <w:tcW w:w="2240" w:type="dxa"/>
            <w:vAlign w:val="bottom"/>
            <w:gridSpan w:val="2"/>
          </w:tcPr>
          <w:p>
            <w:pPr>
              <w:ind w:left="60"/>
              <w:spacing w:after="0"/>
              <w:rPr>
                <w:sz w:val="20"/>
                <w:szCs w:val="20"/>
                <w:color w:val="auto"/>
              </w:rPr>
            </w:pPr>
            <w:r>
              <w:rPr>
                <w:rFonts w:ascii="Arial" w:cs="Arial" w:eastAsia="Arial" w:hAnsi="Arial"/>
                <w:sz w:val="18"/>
                <w:szCs w:val="18"/>
                <w:color w:val="auto"/>
              </w:rPr>
              <w:t>Other current liabilities</w:t>
            </w:r>
          </w:p>
        </w:tc>
        <w:tc>
          <w:tcPr>
            <w:tcW w:w="220" w:type="dxa"/>
            <w:vAlign w:val="bottom"/>
          </w:tcPr>
          <w:p>
            <w:pPr>
              <w:spacing w:after="0"/>
              <w:rPr>
                <w:sz w:val="20"/>
                <w:szCs w:val="20"/>
                <w:color w:val="auto"/>
              </w:rPr>
            </w:pPr>
            <w:r>
              <w:rPr>
                <w:rFonts w:ascii="Arial" w:cs="Arial" w:eastAsia="Arial" w:hAnsi="Arial"/>
                <w:sz w:val="18"/>
                <w:szCs w:val="18"/>
                <w:b w:val="1"/>
                <w:bCs w:val="1"/>
                <w:color w:val="auto"/>
              </w:rPr>
              <w:t>$</w:t>
            </w:r>
          </w:p>
        </w:tc>
        <w:tc>
          <w:tcPr>
            <w:tcW w:w="380" w:type="dxa"/>
            <w:vAlign w:val="bottom"/>
          </w:tcPr>
          <w:p>
            <w:pPr>
              <w:jc w:val="right"/>
              <w:spacing w:after="0"/>
              <w:rPr>
                <w:sz w:val="20"/>
                <w:szCs w:val="20"/>
                <w:color w:val="auto"/>
              </w:rPr>
            </w:pPr>
            <w:r>
              <w:rPr>
                <w:rFonts w:ascii="Arial" w:cs="Arial" w:eastAsia="Arial" w:hAnsi="Arial"/>
                <w:sz w:val="18"/>
                <w:szCs w:val="18"/>
                <w:b w:val="1"/>
                <w:bCs w:val="1"/>
                <w:color w:val="auto"/>
              </w:rPr>
              <w:t>0.1</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Derivatives not designated as hedging instruments:</w:t>
            </w:r>
          </w:p>
        </w:tc>
        <w:tc>
          <w:tcPr>
            <w:tcW w:w="14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4380" w:type="dxa"/>
            <w:vAlign w:val="bottom"/>
          </w:tcPr>
          <w:p>
            <w:pPr>
              <w:spacing w:after="0"/>
              <w:rPr>
                <w:sz w:val="20"/>
                <w:szCs w:val="20"/>
                <w:color w:val="auto"/>
              </w:rPr>
            </w:pPr>
            <w:r>
              <w:rPr>
                <w:rFonts w:ascii="Arial" w:cs="Arial" w:eastAsia="Arial" w:hAnsi="Arial"/>
                <w:sz w:val="18"/>
                <w:szCs w:val="18"/>
                <w:color w:val="auto"/>
              </w:rPr>
              <w:t>Foreign exchange forward contracts</w:t>
            </w:r>
          </w:p>
        </w:tc>
        <w:tc>
          <w:tcPr>
            <w:tcW w:w="1900" w:type="dxa"/>
            <w:vAlign w:val="bottom"/>
            <w:gridSpan w:val="2"/>
          </w:tcPr>
          <w:p>
            <w:pPr>
              <w:ind w:left="60"/>
              <w:spacing w:after="0"/>
              <w:rPr>
                <w:sz w:val="20"/>
                <w:szCs w:val="20"/>
                <w:color w:val="auto"/>
              </w:rPr>
            </w:pPr>
            <w:r>
              <w:rPr>
                <w:rFonts w:ascii="Arial" w:cs="Arial" w:eastAsia="Arial" w:hAnsi="Arial"/>
                <w:sz w:val="18"/>
                <w:szCs w:val="18"/>
                <w:color w:val="auto"/>
              </w:rPr>
              <w:t>Other current assets</w:t>
            </w: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0.1</w:t>
            </w:r>
          </w:p>
        </w:tc>
        <w:tc>
          <w:tcPr>
            <w:tcW w:w="540" w:type="dxa"/>
            <w:vAlign w:val="bottom"/>
          </w:tcPr>
          <w:p>
            <w:pPr>
              <w:spacing w:after="0"/>
              <w:rPr>
                <w:sz w:val="19"/>
                <w:szCs w:val="19"/>
                <w:color w:val="auto"/>
              </w:rPr>
            </w:pPr>
          </w:p>
        </w:tc>
        <w:tc>
          <w:tcPr>
            <w:tcW w:w="2240" w:type="dxa"/>
            <w:vAlign w:val="bottom"/>
            <w:gridSpan w:val="2"/>
          </w:tcPr>
          <w:p>
            <w:pPr>
              <w:ind w:left="60"/>
              <w:spacing w:after="0"/>
              <w:rPr>
                <w:sz w:val="20"/>
                <w:szCs w:val="20"/>
                <w:color w:val="auto"/>
              </w:rPr>
            </w:pPr>
            <w:r>
              <w:rPr>
                <w:rFonts w:ascii="Arial" w:cs="Arial" w:eastAsia="Arial" w:hAnsi="Arial"/>
                <w:sz w:val="18"/>
                <w:szCs w:val="18"/>
                <w:color w:val="auto"/>
              </w:rPr>
              <w:t>Other current liabilities</w:t>
            </w:r>
          </w:p>
        </w:tc>
        <w:tc>
          <w:tcPr>
            <w:tcW w:w="22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Total derivatives</w:t>
            </w:r>
          </w:p>
        </w:tc>
        <w:tc>
          <w:tcPr>
            <w:tcW w:w="14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72"/>
              <w:spacing w:after="0"/>
              <w:rPr>
                <w:sz w:val="20"/>
                <w:szCs w:val="20"/>
                <w:color w:val="auto"/>
              </w:rPr>
            </w:pPr>
            <w:r>
              <w:rPr>
                <w:rFonts w:ascii="Arial" w:cs="Arial" w:eastAsia="Arial" w:hAnsi="Arial"/>
                <w:sz w:val="18"/>
                <w:szCs w:val="18"/>
                <w:b w:val="1"/>
                <w:bCs w:val="1"/>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0.3</w:t>
            </w:r>
          </w:p>
        </w:tc>
        <w:tc>
          <w:tcPr>
            <w:tcW w:w="54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0.1</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The following table presents the amounts of gains (losses) from cash flow hedges recorded in Other Comprehensive Income (Loss), the amounts transferred from Other Comprehensive Income (Loss) and recorded in Revenue and Cost of Products Sold, and the amounts associated with excluded time value and hedge ineffectiveness during the second quarter and first two quarters of fiscal 2011 and fiscal 2010:</w:t>
      </w:r>
    </w:p>
    <w:p>
      <w:pPr>
        <w:spacing w:after="0" w:line="176"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9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60" w:type="dxa"/>
            <w:vAlign w:val="bottom"/>
            <w:gridSpan w:val="4"/>
          </w:tcPr>
          <w:p>
            <w:pPr>
              <w:ind w:left="340"/>
              <w:spacing w:after="0"/>
              <w:rPr>
                <w:sz w:val="20"/>
                <w:szCs w:val="20"/>
                <w:color w:val="auto"/>
              </w:rPr>
            </w:pPr>
            <w:r>
              <w:rPr>
                <w:rFonts w:ascii="Arial" w:cs="Arial" w:eastAsia="Arial" w:hAnsi="Arial"/>
                <w:sz w:val="14"/>
                <w:szCs w:val="14"/>
                <w:b w:val="1"/>
                <w:bCs w:val="1"/>
                <w:color w:val="auto"/>
                <w:w w:val="92"/>
              </w:rPr>
              <w:t>Quarter Ended</w:t>
            </w:r>
          </w:p>
        </w:tc>
        <w:tc>
          <w:tcPr>
            <w:tcW w:w="4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60" w:type="dxa"/>
            <w:vAlign w:val="bottom"/>
            <w:gridSpan w:val="6"/>
          </w:tcPr>
          <w:p>
            <w:pPr>
              <w:jc w:val="right"/>
              <w:ind w:right="460"/>
              <w:spacing w:after="0"/>
              <w:rPr>
                <w:sz w:val="20"/>
                <w:szCs w:val="20"/>
                <w:color w:val="auto"/>
              </w:rPr>
            </w:pPr>
            <w:r>
              <w:rPr>
                <w:rFonts w:ascii="Arial" w:cs="Arial" w:eastAsia="Arial" w:hAnsi="Arial"/>
                <w:sz w:val="14"/>
                <w:szCs w:val="14"/>
                <w:b w:val="1"/>
                <w:bCs w:val="1"/>
                <w:color w:val="auto"/>
              </w:rPr>
              <w:t>Two Quarters Ended</w:t>
            </w:r>
          </w:p>
        </w:tc>
        <w:tc>
          <w:tcPr>
            <w:tcW w:w="0" w:type="dxa"/>
            <w:vAlign w:val="bottom"/>
          </w:tcPr>
          <w:p>
            <w:pPr>
              <w:spacing w:after="0"/>
              <w:rPr>
                <w:sz w:val="1"/>
                <w:szCs w:val="1"/>
                <w:color w:val="auto"/>
              </w:rPr>
            </w:pPr>
          </w:p>
        </w:tc>
      </w:tr>
      <w:tr>
        <w:trPr>
          <w:trHeight w:val="129"/>
        </w:trPr>
        <w:tc>
          <w:tcPr>
            <w:tcW w:w="49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40" w:type="dxa"/>
            <w:vAlign w:val="bottom"/>
            <w:tcBorders>
              <w:top w:val="single" w:sz="8" w:color="auto"/>
            </w:tcBorders>
            <w:gridSpan w:val="3"/>
          </w:tcPr>
          <w:p>
            <w:pPr>
              <w:spacing w:after="0" w:line="129" w:lineRule="exact"/>
              <w:rPr>
                <w:sz w:val="20"/>
                <w:szCs w:val="20"/>
                <w:color w:val="auto"/>
              </w:rPr>
            </w:pPr>
            <w:r>
              <w:rPr>
                <w:rFonts w:ascii="Arial" w:cs="Arial" w:eastAsia="Arial" w:hAnsi="Arial"/>
                <w:sz w:val="14"/>
                <w:szCs w:val="14"/>
                <w:b w:val="1"/>
                <w:bCs w:val="1"/>
                <w:color w:val="auto"/>
              </w:rPr>
              <w:t>December 31,</w:t>
            </w:r>
          </w:p>
        </w:tc>
        <w:tc>
          <w:tcPr>
            <w:tcW w:w="24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gridSpan w:val="2"/>
          </w:tcPr>
          <w:p>
            <w:pPr>
              <w:ind w:left="20"/>
              <w:spacing w:after="0" w:line="129" w:lineRule="exact"/>
              <w:rPr>
                <w:sz w:val="20"/>
                <w:szCs w:val="20"/>
                <w:color w:val="auto"/>
              </w:rPr>
            </w:pPr>
            <w:r>
              <w:rPr>
                <w:rFonts w:ascii="Arial" w:cs="Arial" w:eastAsia="Arial" w:hAnsi="Arial"/>
                <w:sz w:val="14"/>
                <w:szCs w:val="14"/>
                <w:b w:val="1"/>
                <w:bCs w:val="1"/>
                <w:color w:val="auto"/>
                <w:w w:val="83"/>
              </w:rPr>
              <w:t>January 1,</w:t>
            </w:r>
          </w:p>
        </w:tc>
        <w:tc>
          <w:tcPr>
            <w:tcW w:w="520" w:type="dxa"/>
            <w:vAlign w:val="bottom"/>
          </w:tcPr>
          <w:p>
            <w:pPr>
              <w:spacing w:after="0"/>
              <w:rPr>
                <w:sz w:val="11"/>
                <w:szCs w:val="11"/>
                <w:color w:val="auto"/>
              </w:rPr>
            </w:pPr>
          </w:p>
        </w:tc>
        <w:tc>
          <w:tcPr>
            <w:tcW w:w="1080" w:type="dxa"/>
            <w:vAlign w:val="bottom"/>
            <w:tcBorders>
              <w:top w:val="single" w:sz="8" w:color="auto"/>
            </w:tcBorders>
            <w:gridSpan w:val="3"/>
          </w:tcPr>
          <w:p>
            <w:pPr>
              <w:spacing w:after="0" w:line="129" w:lineRule="exact"/>
              <w:rPr>
                <w:sz w:val="20"/>
                <w:szCs w:val="20"/>
                <w:color w:val="auto"/>
              </w:rPr>
            </w:pPr>
            <w:r>
              <w:rPr>
                <w:rFonts w:ascii="Arial" w:cs="Arial" w:eastAsia="Arial" w:hAnsi="Arial"/>
                <w:sz w:val="14"/>
                <w:szCs w:val="14"/>
                <w:b w:val="1"/>
                <w:bCs w:val="1"/>
                <w:color w:val="auto"/>
              </w:rPr>
              <w:t>December 31,</w:t>
            </w:r>
          </w:p>
        </w:tc>
        <w:tc>
          <w:tcPr>
            <w:tcW w:w="24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gridSpan w:val="2"/>
          </w:tcPr>
          <w:p>
            <w:pPr>
              <w:spacing w:after="0" w:line="129" w:lineRule="exact"/>
              <w:rPr>
                <w:sz w:val="20"/>
                <w:szCs w:val="20"/>
                <w:color w:val="auto"/>
              </w:rPr>
            </w:pPr>
            <w:r>
              <w:rPr>
                <w:rFonts w:ascii="Arial" w:cs="Arial" w:eastAsia="Arial" w:hAnsi="Arial"/>
                <w:sz w:val="14"/>
                <w:szCs w:val="14"/>
                <w:b w:val="1"/>
                <w:bCs w:val="1"/>
                <w:color w:val="auto"/>
                <w:w w:val="86"/>
              </w:rPr>
              <w:t>January 1,</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49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9"/>
              </w:rPr>
              <w:t>Locations of Losses Recorded From Derivatives Designated as Cash Flow Hedges</w:t>
            </w:r>
          </w:p>
        </w:tc>
        <w:tc>
          <w:tcPr>
            <w:tcW w:w="11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2010</w:t>
            </w: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78"/>
              <w:spacing w:after="0"/>
              <w:rPr>
                <w:sz w:val="20"/>
                <w:szCs w:val="20"/>
                <w:color w:val="auto"/>
              </w:rPr>
            </w:pPr>
            <w:r>
              <w:rPr>
                <w:rFonts w:ascii="Arial" w:cs="Arial" w:eastAsia="Arial" w:hAnsi="Arial"/>
                <w:sz w:val="14"/>
                <w:szCs w:val="14"/>
                <w:b w:val="1"/>
                <w:bCs w:val="1"/>
                <w:color w:val="auto"/>
                <w:w w:val="96"/>
              </w:rPr>
              <w:t>2010</w:t>
            </w:r>
          </w:p>
        </w:tc>
        <w:tc>
          <w:tcPr>
            <w:tcW w:w="5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78"/>
              <w:spacing w:after="0"/>
              <w:rPr>
                <w:sz w:val="20"/>
                <w:szCs w:val="20"/>
                <w:color w:val="auto"/>
              </w:rPr>
            </w:pPr>
            <w:r>
              <w:rPr>
                <w:rFonts w:ascii="Arial" w:cs="Arial" w:eastAsia="Arial" w:hAnsi="Arial"/>
                <w:sz w:val="14"/>
                <w:szCs w:val="14"/>
                <w:b w:val="1"/>
                <w:bCs w:val="1"/>
                <w:color w:val="auto"/>
              </w:rPr>
              <w:t>2010</w:t>
            </w: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96"/>
              <w:spacing w:after="0"/>
              <w:rPr>
                <w:sz w:val="20"/>
                <w:szCs w:val="20"/>
                <w:color w:val="auto"/>
              </w:rPr>
            </w:pPr>
            <w:r>
              <w:rPr>
                <w:rFonts w:ascii="Arial" w:cs="Arial" w:eastAsia="Arial" w:hAnsi="Arial"/>
                <w:sz w:val="14"/>
                <w:szCs w:val="14"/>
                <w:b w:val="1"/>
                <w:bCs w:val="1"/>
                <w:color w:val="auto"/>
                <w:w w:val="96"/>
              </w:rPr>
              <w:t>2010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9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gridSpan w:val="3"/>
          </w:tcPr>
          <w:p>
            <w:pPr>
              <w:ind w:left="400"/>
              <w:spacing w:after="0" w:line="142" w:lineRule="exact"/>
              <w:rPr>
                <w:sz w:val="20"/>
                <w:szCs w:val="20"/>
                <w:color w:val="auto"/>
              </w:rPr>
            </w:pPr>
            <w:r>
              <w:rPr>
                <w:rFonts w:ascii="Arial" w:cs="Arial" w:eastAsia="Arial" w:hAnsi="Arial"/>
                <w:sz w:val="14"/>
                <w:szCs w:val="14"/>
                <w:b w:val="1"/>
                <w:bCs w:val="1"/>
                <w:color w:val="auto"/>
                <w:w w:val="96"/>
              </w:rPr>
              <w:t>(In millions)</w:t>
            </w: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8"/>
        </w:trPr>
        <w:tc>
          <w:tcPr>
            <w:tcW w:w="604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5"/>
              </w:rPr>
              <w:t>Amount of loss of effective hedges recognized in Other Comprehensive Income</w:t>
            </w:r>
          </w:p>
        </w:tc>
        <w:tc>
          <w:tcPr>
            <w:tcW w:w="160" w:type="dxa"/>
            <w:vAlign w:val="bottom"/>
            <w:vMerge w:val="restart"/>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880" w:type="dxa"/>
            <w:vAlign w:val="bottom"/>
            <w:gridSpan w:val="2"/>
            <w:vMerge w:val="restart"/>
            <w:shd w:val="clear" w:color="auto" w:fill="CCEEFF"/>
          </w:tcPr>
          <w:p>
            <w:pPr>
              <w:ind w:left="360"/>
              <w:spacing w:after="0"/>
              <w:rPr>
                <w:sz w:val="20"/>
                <w:szCs w:val="20"/>
                <w:color w:val="auto"/>
              </w:rPr>
            </w:pPr>
            <w:r>
              <w:rPr>
                <w:rFonts w:ascii="Arial" w:cs="Arial" w:eastAsia="Arial" w:hAnsi="Arial"/>
                <w:sz w:val="18"/>
                <w:szCs w:val="18"/>
                <w:b w:val="1"/>
                <w:bCs w:val="1"/>
                <w:color w:val="auto"/>
              </w:rPr>
              <w:t>—</w:t>
            </w:r>
          </w:p>
        </w:tc>
        <w:tc>
          <w:tcPr>
            <w:tcW w:w="380" w:type="dxa"/>
            <w:vAlign w:val="bottom"/>
            <w:gridSpan w:val="2"/>
            <w:vMerge w:val="restart"/>
            <w:shd w:val="clear" w:color="auto" w:fill="CCEEFF"/>
          </w:tcPr>
          <w:p>
            <w:pPr>
              <w:ind w:left="240"/>
              <w:spacing w:after="0"/>
              <w:rPr>
                <w:sz w:val="20"/>
                <w:szCs w:val="20"/>
                <w:color w:val="auto"/>
              </w:rPr>
            </w:pPr>
            <w:r>
              <w:rPr>
                <w:rFonts w:ascii="Arial" w:cs="Arial" w:eastAsia="Arial" w:hAnsi="Arial"/>
                <w:sz w:val="18"/>
                <w:szCs w:val="18"/>
                <w:b w:val="1"/>
                <w:bCs w:val="1"/>
                <w:color w:val="auto"/>
              </w:rPr>
              <w:t>$</w:t>
            </w:r>
          </w:p>
        </w:tc>
        <w:tc>
          <w:tcPr>
            <w:tcW w:w="48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0.1</w:t>
            </w:r>
          </w:p>
        </w:tc>
        <w:tc>
          <w:tcPr>
            <w:tcW w:w="700" w:type="dxa"/>
            <w:vAlign w:val="bottom"/>
            <w:gridSpan w:val="2"/>
            <w:vMerge w:val="restart"/>
            <w:shd w:val="clear" w:color="auto" w:fill="CCEEFF"/>
          </w:tcPr>
          <w:p>
            <w:pPr>
              <w:ind w:left="520"/>
              <w:spacing w:after="0"/>
              <w:rPr>
                <w:sz w:val="20"/>
                <w:szCs w:val="20"/>
                <w:color w:val="auto"/>
              </w:rPr>
            </w:pPr>
            <w:r>
              <w:rPr>
                <w:rFonts w:ascii="Arial" w:cs="Arial" w:eastAsia="Arial" w:hAnsi="Arial"/>
                <w:sz w:val="18"/>
                <w:szCs w:val="18"/>
                <w:b w:val="1"/>
                <w:bCs w:val="1"/>
                <w:color w:val="auto"/>
              </w:rPr>
              <w:t>$</w:t>
            </w:r>
          </w:p>
        </w:tc>
        <w:tc>
          <w:tcPr>
            <w:tcW w:w="90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(0.2)</w:t>
            </w:r>
          </w:p>
        </w:tc>
        <w:tc>
          <w:tcPr>
            <w:tcW w:w="360" w:type="dxa"/>
            <w:vAlign w:val="bottom"/>
            <w:gridSpan w:val="2"/>
            <w:vMerge w:val="restart"/>
            <w:shd w:val="clear" w:color="auto" w:fill="CCEEFF"/>
          </w:tcPr>
          <w:p>
            <w:pPr>
              <w:ind w:left="240"/>
              <w:spacing w:after="0"/>
              <w:rPr>
                <w:sz w:val="20"/>
                <w:szCs w:val="20"/>
                <w:color w:val="auto"/>
              </w:rPr>
            </w:pPr>
            <w:r>
              <w:rPr>
                <w:rFonts w:ascii="Arial" w:cs="Arial" w:eastAsia="Arial" w:hAnsi="Arial"/>
                <w:sz w:val="18"/>
                <w:szCs w:val="18"/>
                <w:b w:val="1"/>
                <w:bCs w:val="1"/>
                <w:color w:val="auto"/>
                <w:w w:val="99"/>
              </w:rPr>
              <w:t>$</w:t>
            </w:r>
          </w:p>
        </w:tc>
        <w:tc>
          <w:tcPr>
            <w:tcW w:w="60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(0.1)</w:t>
            </w:r>
          </w:p>
        </w:tc>
        <w:tc>
          <w:tcPr>
            <w:tcW w:w="0" w:type="dxa"/>
            <w:vAlign w:val="bottom"/>
          </w:tcPr>
          <w:p>
            <w:pPr>
              <w:spacing w:after="0"/>
              <w:rPr>
                <w:sz w:val="1"/>
                <w:szCs w:val="1"/>
                <w:color w:val="auto"/>
              </w:rPr>
            </w:pPr>
          </w:p>
        </w:tc>
      </w:tr>
      <w:tr>
        <w:trPr>
          <w:trHeight w:val="224"/>
        </w:trPr>
        <w:tc>
          <w:tcPr>
            <w:tcW w:w="60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(Loss)</w:t>
            </w:r>
          </w:p>
        </w:tc>
        <w:tc>
          <w:tcPr>
            <w:tcW w:w="160" w:type="dxa"/>
            <w:vAlign w:val="bottom"/>
            <w:vMerge w:val="continue"/>
            <w:shd w:val="clear" w:color="auto" w:fill="CCEEFF"/>
          </w:tcPr>
          <w:p>
            <w:pPr>
              <w:spacing w:after="0"/>
              <w:rPr>
                <w:sz w:val="19"/>
                <w:szCs w:val="19"/>
                <w:color w:val="auto"/>
              </w:rPr>
            </w:pPr>
          </w:p>
        </w:tc>
        <w:tc>
          <w:tcPr>
            <w:tcW w:w="880" w:type="dxa"/>
            <w:vAlign w:val="bottom"/>
            <w:gridSpan w:val="2"/>
            <w:vMerge w:val="continue"/>
            <w:shd w:val="clear" w:color="auto" w:fill="CCEEFF"/>
          </w:tcPr>
          <w:p>
            <w:pPr>
              <w:spacing w:after="0"/>
              <w:rPr>
                <w:sz w:val="19"/>
                <w:szCs w:val="19"/>
                <w:color w:val="auto"/>
              </w:rPr>
            </w:pPr>
          </w:p>
        </w:tc>
        <w:tc>
          <w:tcPr>
            <w:tcW w:w="380" w:type="dxa"/>
            <w:vAlign w:val="bottom"/>
            <w:gridSpan w:val="2"/>
            <w:vMerge w:val="continue"/>
            <w:shd w:val="clear" w:color="auto" w:fill="CCEEFF"/>
          </w:tcPr>
          <w:p>
            <w:pPr>
              <w:spacing w:after="0"/>
              <w:rPr>
                <w:sz w:val="19"/>
                <w:szCs w:val="19"/>
                <w:color w:val="auto"/>
              </w:rPr>
            </w:pPr>
          </w:p>
        </w:tc>
        <w:tc>
          <w:tcPr>
            <w:tcW w:w="480" w:type="dxa"/>
            <w:vAlign w:val="bottom"/>
            <w:vMerge w:val="continue"/>
            <w:shd w:val="clear" w:color="auto" w:fill="CCEEFF"/>
          </w:tcPr>
          <w:p>
            <w:pPr>
              <w:spacing w:after="0"/>
              <w:rPr>
                <w:sz w:val="19"/>
                <w:szCs w:val="19"/>
                <w:color w:val="auto"/>
              </w:rPr>
            </w:pPr>
          </w:p>
        </w:tc>
        <w:tc>
          <w:tcPr>
            <w:tcW w:w="700" w:type="dxa"/>
            <w:vAlign w:val="bottom"/>
            <w:gridSpan w:val="2"/>
            <w:vMerge w:val="continue"/>
            <w:shd w:val="clear" w:color="auto" w:fill="CCEEFF"/>
          </w:tcPr>
          <w:p>
            <w:pPr>
              <w:spacing w:after="0"/>
              <w:rPr>
                <w:sz w:val="19"/>
                <w:szCs w:val="19"/>
                <w:color w:val="auto"/>
              </w:rPr>
            </w:pPr>
          </w:p>
        </w:tc>
        <w:tc>
          <w:tcPr>
            <w:tcW w:w="900" w:type="dxa"/>
            <w:vAlign w:val="bottom"/>
            <w:gridSpan w:val="2"/>
            <w:vMerge w:val="continue"/>
            <w:shd w:val="clear" w:color="auto" w:fill="CCEEFF"/>
          </w:tcPr>
          <w:p>
            <w:pPr>
              <w:spacing w:after="0"/>
              <w:rPr>
                <w:sz w:val="19"/>
                <w:szCs w:val="19"/>
                <w:color w:val="auto"/>
              </w:rPr>
            </w:pPr>
          </w:p>
        </w:tc>
        <w:tc>
          <w:tcPr>
            <w:tcW w:w="360" w:type="dxa"/>
            <w:vAlign w:val="bottom"/>
            <w:gridSpan w:val="2"/>
            <w:vMerge w:val="continue"/>
            <w:shd w:val="clear" w:color="auto" w:fill="CCEEFF"/>
          </w:tcPr>
          <w:p>
            <w:pPr>
              <w:spacing w:after="0"/>
              <w:rPr>
                <w:sz w:val="19"/>
                <w:szCs w:val="19"/>
                <w:color w:val="auto"/>
              </w:rPr>
            </w:pPr>
          </w:p>
        </w:tc>
        <w:tc>
          <w:tcPr>
            <w:tcW w:w="600" w:type="dxa"/>
            <w:vAlign w:val="bottom"/>
            <w:gridSpan w:val="2"/>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6040" w:type="dxa"/>
            <w:vAlign w:val="bottom"/>
            <w:gridSpan w:val="2"/>
          </w:tcPr>
          <w:p>
            <w:pPr>
              <w:spacing w:after="0"/>
              <w:rPr>
                <w:sz w:val="20"/>
                <w:szCs w:val="20"/>
                <w:color w:val="auto"/>
              </w:rPr>
            </w:pPr>
            <w:r>
              <w:rPr>
                <w:rFonts w:ascii="Arial" w:cs="Arial" w:eastAsia="Arial" w:hAnsi="Arial"/>
                <w:sz w:val="18"/>
                <w:szCs w:val="18"/>
                <w:color w:val="auto"/>
              </w:rPr>
              <w:t>Amount of loss of effective hedges reclassified from Other Comprehensive</w:t>
            </w: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040" w:type="dxa"/>
            <w:vAlign w:val="bottom"/>
            <w:gridSpan w:val="2"/>
          </w:tcPr>
          <w:p>
            <w:pPr>
              <w:ind w:left="220"/>
              <w:spacing w:after="0"/>
              <w:rPr>
                <w:sz w:val="20"/>
                <w:szCs w:val="20"/>
                <w:color w:val="auto"/>
              </w:rPr>
            </w:pPr>
            <w:r>
              <w:rPr>
                <w:rFonts w:ascii="Arial" w:cs="Arial" w:eastAsia="Arial" w:hAnsi="Arial"/>
                <w:sz w:val="18"/>
                <w:szCs w:val="18"/>
                <w:color w:val="auto"/>
              </w:rPr>
              <w:t>Income (Loss) into:</w:t>
            </w:r>
          </w:p>
        </w:tc>
        <w:tc>
          <w:tcPr>
            <w:tcW w:w="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60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Revenue</w:t>
            </w:r>
          </w:p>
        </w:tc>
        <w:tc>
          <w:tcPr>
            <w:tcW w:w="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880" w:type="dxa"/>
            <w:vAlign w:val="bottom"/>
            <w:gridSpan w:val="2"/>
            <w:shd w:val="clear" w:color="auto" w:fill="CCEEFF"/>
          </w:tcPr>
          <w:p>
            <w:pPr>
              <w:ind w:left="400"/>
              <w:spacing w:after="0"/>
              <w:rPr>
                <w:sz w:val="20"/>
                <w:szCs w:val="20"/>
                <w:color w:val="auto"/>
              </w:rPr>
            </w:pPr>
            <w:r>
              <w:rPr>
                <w:rFonts w:ascii="Arial" w:cs="Arial" w:eastAsia="Arial" w:hAnsi="Arial"/>
                <w:sz w:val="18"/>
                <w:szCs w:val="18"/>
                <w:b w:val="1"/>
                <w:bCs w:val="1"/>
                <w:color w:val="auto"/>
              </w:rPr>
              <w:t>0.4</w:t>
            </w:r>
          </w:p>
        </w:tc>
        <w:tc>
          <w:tcPr>
            <w:tcW w:w="380" w:type="dxa"/>
            <w:vAlign w:val="bottom"/>
            <w:gridSpan w:val="2"/>
            <w:shd w:val="clear" w:color="auto" w:fill="CCEEFF"/>
          </w:tcPr>
          <w:p>
            <w:pPr>
              <w:ind w:left="240"/>
              <w:spacing w:after="0"/>
              <w:rPr>
                <w:sz w:val="20"/>
                <w:szCs w:val="20"/>
                <w:color w:val="auto"/>
              </w:rPr>
            </w:pPr>
            <w:r>
              <w:rPr>
                <w:rFonts w:ascii="Arial" w:cs="Arial" w:eastAsia="Arial" w:hAnsi="Arial"/>
                <w:sz w:val="18"/>
                <w:szCs w:val="18"/>
                <w:b w:val="1"/>
                <w:bCs w:val="1"/>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0.2</w:t>
            </w:r>
          </w:p>
        </w:tc>
        <w:tc>
          <w:tcPr>
            <w:tcW w:w="700" w:type="dxa"/>
            <w:vAlign w:val="bottom"/>
            <w:gridSpan w:val="2"/>
            <w:shd w:val="clear" w:color="auto" w:fill="CCEEFF"/>
          </w:tcPr>
          <w:p>
            <w:pPr>
              <w:ind w:left="520"/>
              <w:spacing w:after="0"/>
              <w:rPr>
                <w:sz w:val="20"/>
                <w:szCs w:val="20"/>
                <w:color w:val="auto"/>
              </w:rPr>
            </w:pPr>
            <w:r>
              <w:rPr>
                <w:rFonts w:ascii="Arial" w:cs="Arial" w:eastAsia="Arial" w:hAnsi="Arial"/>
                <w:sz w:val="18"/>
                <w:szCs w:val="18"/>
                <w:b w:val="1"/>
                <w:bCs w:val="1"/>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0.2</w:t>
            </w:r>
          </w:p>
        </w:tc>
        <w:tc>
          <w:tcPr>
            <w:tcW w:w="280" w:type="dxa"/>
            <w:vAlign w:val="bottom"/>
            <w:shd w:val="clear" w:color="auto" w:fill="CCEEFF"/>
          </w:tcPr>
          <w:p>
            <w:pPr>
              <w:spacing w:after="0"/>
              <w:rPr>
                <w:sz w:val="18"/>
                <w:szCs w:val="18"/>
                <w:color w:val="auto"/>
              </w:rPr>
            </w:pPr>
          </w:p>
        </w:tc>
        <w:tc>
          <w:tcPr>
            <w:tcW w:w="360" w:type="dxa"/>
            <w:vAlign w:val="bottom"/>
            <w:gridSpan w:val="2"/>
            <w:shd w:val="clear" w:color="auto" w:fill="CCEEFF"/>
          </w:tcPr>
          <w:p>
            <w:pPr>
              <w:ind w:left="240"/>
              <w:spacing w:after="0"/>
              <w:rPr>
                <w:sz w:val="20"/>
                <w:szCs w:val="20"/>
                <w:color w:val="auto"/>
              </w:rPr>
            </w:pPr>
            <w:r>
              <w:rPr>
                <w:rFonts w:ascii="Arial" w:cs="Arial" w:eastAsia="Arial" w:hAnsi="Arial"/>
                <w:sz w:val="18"/>
                <w:szCs w:val="18"/>
                <w:b w:val="1"/>
                <w:bCs w:val="1"/>
                <w:color w:val="auto"/>
                <w:w w:val="99"/>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0.2</w:t>
            </w:r>
          </w:p>
        </w:tc>
        <w:tc>
          <w:tcPr>
            <w:tcW w:w="0" w:type="dxa"/>
            <w:vAlign w:val="bottom"/>
          </w:tcPr>
          <w:p>
            <w:pPr>
              <w:spacing w:after="0"/>
              <w:rPr>
                <w:sz w:val="1"/>
                <w:szCs w:val="1"/>
                <w:color w:val="auto"/>
              </w:rPr>
            </w:pPr>
          </w:p>
        </w:tc>
      </w:tr>
      <w:tr>
        <w:trPr>
          <w:trHeight w:val="216"/>
        </w:trPr>
        <w:tc>
          <w:tcPr>
            <w:tcW w:w="6040" w:type="dxa"/>
            <w:vAlign w:val="bottom"/>
            <w:gridSpan w:val="2"/>
          </w:tcPr>
          <w:p>
            <w:pPr>
              <w:ind w:left="440"/>
              <w:spacing w:after="0"/>
              <w:rPr>
                <w:sz w:val="20"/>
                <w:szCs w:val="20"/>
                <w:color w:val="auto"/>
              </w:rPr>
            </w:pPr>
            <w:r>
              <w:rPr>
                <w:rFonts w:ascii="Arial" w:cs="Arial" w:eastAsia="Arial" w:hAnsi="Arial"/>
                <w:sz w:val="18"/>
                <w:szCs w:val="18"/>
                <w:color w:val="auto"/>
              </w:rPr>
              <w:t>Cost of Products Sold</w:t>
            </w:r>
          </w:p>
        </w:tc>
        <w:tc>
          <w:tcPr>
            <w:tcW w:w="160" w:type="dxa"/>
            <w:vAlign w:val="bottom"/>
          </w:tcPr>
          <w:p>
            <w:pPr>
              <w:spacing w:after="0"/>
              <w:rPr>
                <w:sz w:val="20"/>
                <w:szCs w:val="20"/>
                <w:color w:val="auto"/>
              </w:rPr>
            </w:pPr>
            <w:r>
              <w:rPr>
                <w:rFonts w:ascii="Arial" w:cs="Arial" w:eastAsia="Arial" w:hAnsi="Arial"/>
                <w:sz w:val="18"/>
                <w:szCs w:val="18"/>
                <w:b w:val="1"/>
                <w:bCs w:val="1"/>
                <w:color w:val="auto"/>
              </w:rPr>
              <w:t>$</w:t>
            </w:r>
          </w:p>
        </w:tc>
        <w:tc>
          <w:tcPr>
            <w:tcW w:w="880" w:type="dxa"/>
            <w:vAlign w:val="bottom"/>
            <w:gridSpan w:val="2"/>
          </w:tcPr>
          <w:p>
            <w:pPr>
              <w:ind w:left="360"/>
              <w:spacing w:after="0"/>
              <w:rPr>
                <w:sz w:val="20"/>
                <w:szCs w:val="20"/>
                <w:color w:val="auto"/>
              </w:rPr>
            </w:pPr>
            <w:r>
              <w:rPr>
                <w:rFonts w:ascii="Arial" w:cs="Arial" w:eastAsia="Arial" w:hAnsi="Arial"/>
                <w:sz w:val="18"/>
                <w:szCs w:val="18"/>
                <w:b w:val="1"/>
                <w:bCs w:val="1"/>
                <w:color w:val="auto"/>
              </w:rPr>
              <w:t>—</w:t>
            </w:r>
          </w:p>
        </w:tc>
        <w:tc>
          <w:tcPr>
            <w:tcW w:w="380" w:type="dxa"/>
            <w:vAlign w:val="bottom"/>
            <w:gridSpan w:val="2"/>
          </w:tcPr>
          <w:p>
            <w:pPr>
              <w:ind w:left="240"/>
              <w:spacing w:after="0"/>
              <w:rPr>
                <w:sz w:val="20"/>
                <w:szCs w:val="20"/>
                <w:color w:val="auto"/>
              </w:rPr>
            </w:pPr>
            <w:r>
              <w:rPr>
                <w:rFonts w:ascii="Arial" w:cs="Arial" w:eastAsia="Arial" w:hAnsi="Arial"/>
                <w:sz w:val="18"/>
                <w:szCs w:val="18"/>
                <w:b w:val="1"/>
                <w:bCs w:val="1"/>
                <w:color w:val="auto"/>
              </w:rPr>
              <w:t>$</w:t>
            </w:r>
          </w:p>
        </w:tc>
        <w:tc>
          <w:tcPr>
            <w:tcW w:w="480" w:type="dxa"/>
            <w:vAlign w:val="bottom"/>
          </w:tcPr>
          <w:p>
            <w:pPr>
              <w:ind w:left="220"/>
              <w:spacing w:after="0"/>
              <w:rPr>
                <w:sz w:val="20"/>
                <w:szCs w:val="20"/>
                <w:color w:val="auto"/>
              </w:rPr>
            </w:pPr>
            <w:r>
              <w:rPr>
                <w:rFonts w:ascii="Arial" w:cs="Arial" w:eastAsia="Arial" w:hAnsi="Arial"/>
                <w:sz w:val="18"/>
                <w:szCs w:val="18"/>
                <w:b w:val="1"/>
                <w:bCs w:val="1"/>
                <w:color w:val="auto"/>
              </w:rPr>
              <w:t>—</w:t>
            </w:r>
          </w:p>
        </w:tc>
        <w:tc>
          <w:tcPr>
            <w:tcW w:w="700" w:type="dxa"/>
            <w:vAlign w:val="bottom"/>
            <w:gridSpan w:val="2"/>
          </w:tcPr>
          <w:p>
            <w:pPr>
              <w:ind w:left="520"/>
              <w:spacing w:after="0"/>
              <w:rPr>
                <w:sz w:val="20"/>
                <w:szCs w:val="20"/>
                <w:color w:val="auto"/>
              </w:rPr>
            </w:pPr>
            <w:r>
              <w:rPr>
                <w:rFonts w:ascii="Arial" w:cs="Arial" w:eastAsia="Arial" w:hAnsi="Arial"/>
                <w:sz w:val="18"/>
                <w:szCs w:val="18"/>
                <w:b w:val="1"/>
                <w:bCs w:val="1"/>
                <w:color w:val="auto"/>
              </w:rPr>
              <w:t>$</w:t>
            </w:r>
          </w:p>
        </w:tc>
        <w:tc>
          <w:tcPr>
            <w:tcW w:w="9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(0.1)</w:t>
            </w:r>
          </w:p>
        </w:tc>
        <w:tc>
          <w:tcPr>
            <w:tcW w:w="360" w:type="dxa"/>
            <w:vAlign w:val="bottom"/>
            <w:gridSpan w:val="2"/>
          </w:tcPr>
          <w:p>
            <w:pPr>
              <w:ind w:left="240"/>
              <w:spacing w:after="0"/>
              <w:rPr>
                <w:sz w:val="20"/>
                <w:szCs w:val="20"/>
                <w:color w:val="auto"/>
              </w:rPr>
            </w:pPr>
            <w:r>
              <w:rPr>
                <w:rFonts w:ascii="Arial" w:cs="Arial" w:eastAsia="Arial" w:hAnsi="Arial"/>
                <w:sz w:val="18"/>
                <w:szCs w:val="18"/>
                <w:b w:val="1"/>
                <w:bCs w:val="1"/>
                <w:color w:val="auto"/>
                <w:w w:val="99"/>
              </w:rPr>
              <w:t>$</w:t>
            </w:r>
          </w:p>
        </w:tc>
        <w:tc>
          <w:tcPr>
            <w:tcW w:w="60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(0.1)</w:t>
            </w:r>
          </w:p>
        </w:tc>
        <w:tc>
          <w:tcPr>
            <w:tcW w:w="0" w:type="dxa"/>
            <w:vAlign w:val="bottom"/>
          </w:tcPr>
          <w:p>
            <w:pPr>
              <w:spacing w:after="0"/>
              <w:rPr>
                <w:sz w:val="1"/>
                <w:szCs w:val="1"/>
                <w:color w:val="auto"/>
              </w:rPr>
            </w:pPr>
          </w:p>
        </w:tc>
      </w:tr>
      <w:tr>
        <w:trPr>
          <w:trHeight w:val="208"/>
        </w:trPr>
        <w:tc>
          <w:tcPr>
            <w:tcW w:w="6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Amount recorded into Cost of Products Sold associated with excluded time</w:t>
            </w:r>
          </w:p>
        </w:tc>
        <w:tc>
          <w:tcPr>
            <w:tcW w:w="160" w:type="dxa"/>
            <w:vAlign w:val="bottom"/>
            <w:vMerge w:val="restart"/>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880" w:type="dxa"/>
            <w:vAlign w:val="bottom"/>
            <w:gridSpan w:val="2"/>
            <w:vMerge w:val="restart"/>
            <w:shd w:val="clear" w:color="auto" w:fill="CCEEFF"/>
          </w:tcPr>
          <w:p>
            <w:pPr>
              <w:ind w:left="400"/>
              <w:spacing w:after="0"/>
              <w:rPr>
                <w:sz w:val="20"/>
                <w:szCs w:val="20"/>
                <w:color w:val="auto"/>
              </w:rPr>
            </w:pPr>
            <w:r>
              <w:rPr>
                <w:rFonts w:ascii="Arial" w:cs="Arial" w:eastAsia="Arial" w:hAnsi="Arial"/>
                <w:sz w:val="18"/>
                <w:szCs w:val="18"/>
                <w:b w:val="1"/>
                <w:bCs w:val="1"/>
                <w:color w:val="auto"/>
              </w:rPr>
              <w:t>0.1</w:t>
            </w:r>
          </w:p>
        </w:tc>
        <w:tc>
          <w:tcPr>
            <w:tcW w:w="380" w:type="dxa"/>
            <w:vAlign w:val="bottom"/>
            <w:gridSpan w:val="2"/>
            <w:vMerge w:val="restart"/>
            <w:shd w:val="clear" w:color="auto" w:fill="CCEEFF"/>
          </w:tcPr>
          <w:p>
            <w:pPr>
              <w:ind w:left="240"/>
              <w:spacing w:after="0"/>
              <w:rPr>
                <w:sz w:val="20"/>
                <w:szCs w:val="20"/>
                <w:color w:val="auto"/>
              </w:rPr>
            </w:pPr>
            <w:r>
              <w:rPr>
                <w:rFonts w:ascii="Arial" w:cs="Arial" w:eastAsia="Arial" w:hAnsi="Arial"/>
                <w:sz w:val="18"/>
                <w:szCs w:val="18"/>
                <w:b w:val="1"/>
                <w:bCs w:val="1"/>
                <w:color w:val="auto"/>
              </w:rPr>
              <w:t>$</w:t>
            </w:r>
          </w:p>
        </w:tc>
        <w:tc>
          <w:tcPr>
            <w:tcW w:w="480" w:type="dxa"/>
            <w:vAlign w:val="bottom"/>
            <w:vMerge w:val="restart"/>
            <w:shd w:val="clear" w:color="auto" w:fill="CCEEFF"/>
          </w:tcPr>
          <w:p>
            <w:pPr>
              <w:ind w:left="220"/>
              <w:spacing w:after="0"/>
              <w:rPr>
                <w:sz w:val="20"/>
                <w:szCs w:val="20"/>
                <w:color w:val="auto"/>
              </w:rPr>
            </w:pPr>
            <w:r>
              <w:rPr>
                <w:rFonts w:ascii="Arial" w:cs="Arial" w:eastAsia="Arial" w:hAnsi="Arial"/>
                <w:sz w:val="18"/>
                <w:szCs w:val="18"/>
                <w:b w:val="1"/>
                <w:bCs w:val="1"/>
                <w:color w:val="auto"/>
              </w:rPr>
              <w:t>—</w:t>
            </w:r>
          </w:p>
        </w:tc>
        <w:tc>
          <w:tcPr>
            <w:tcW w:w="700" w:type="dxa"/>
            <w:vAlign w:val="bottom"/>
            <w:gridSpan w:val="2"/>
            <w:vMerge w:val="restart"/>
            <w:shd w:val="clear" w:color="auto" w:fill="CCEEFF"/>
          </w:tcPr>
          <w:p>
            <w:pPr>
              <w:ind w:left="520"/>
              <w:spacing w:after="0"/>
              <w:rPr>
                <w:sz w:val="20"/>
                <w:szCs w:val="20"/>
                <w:color w:val="auto"/>
              </w:rPr>
            </w:pPr>
            <w:r>
              <w:rPr>
                <w:rFonts w:ascii="Arial" w:cs="Arial" w:eastAsia="Arial" w:hAnsi="Arial"/>
                <w:sz w:val="18"/>
                <w:szCs w:val="18"/>
                <w:b w:val="1"/>
                <w:bCs w:val="1"/>
                <w:color w:val="auto"/>
              </w:rPr>
              <w:t>$</w:t>
            </w:r>
          </w:p>
        </w:tc>
        <w:tc>
          <w:tcPr>
            <w:tcW w:w="90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(0.1)</w:t>
            </w:r>
          </w:p>
        </w:tc>
        <w:tc>
          <w:tcPr>
            <w:tcW w:w="360" w:type="dxa"/>
            <w:vAlign w:val="bottom"/>
            <w:gridSpan w:val="2"/>
            <w:vMerge w:val="restart"/>
            <w:shd w:val="clear" w:color="auto" w:fill="CCEEFF"/>
          </w:tcPr>
          <w:p>
            <w:pPr>
              <w:ind w:left="240"/>
              <w:spacing w:after="0"/>
              <w:rPr>
                <w:sz w:val="20"/>
                <w:szCs w:val="20"/>
                <w:color w:val="auto"/>
              </w:rPr>
            </w:pPr>
            <w:r>
              <w:rPr>
                <w:rFonts w:ascii="Arial" w:cs="Arial" w:eastAsia="Arial" w:hAnsi="Arial"/>
                <w:sz w:val="18"/>
                <w:szCs w:val="18"/>
                <w:b w:val="1"/>
                <w:bCs w:val="1"/>
                <w:color w:val="auto"/>
                <w:w w:val="99"/>
              </w:rPr>
              <w:t>$</w:t>
            </w:r>
          </w:p>
        </w:tc>
        <w:tc>
          <w:tcPr>
            <w:tcW w:w="60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24"/>
        </w:trPr>
        <w:tc>
          <w:tcPr>
            <w:tcW w:w="60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value</w:t>
            </w:r>
          </w:p>
        </w:tc>
        <w:tc>
          <w:tcPr>
            <w:tcW w:w="160" w:type="dxa"/>
            <w:vAlign w:val="bottom"/>
            <w:vMerge w:val="continue"/>
            <w:shd w:val="clear" w:color="auto" w:fill="CCEEFF"/>
          </w:tcPr>
          <w:p>
            <w:pPr>
              <w:spacing w:after="0"/>
              <w:rPr>
                <w:sz w:val="19"/>
                <w:szCs w:val="19"/>
                <w:color w:val="auto"/>
              </w:rPr>
            </w:pPr>
          </w:p>
        </w:tc>
        <w:tc>
          <w:tcPr>
            <w:tcW w:w="880" w:type="dxa"/>
            <w:vAlign w:val="bottom"/>
            <w:gridSpan w:val="2"/>
            <w:vMerge w:val="continue"/>
            <w:shd w:val="clear" w:color="auto" w:fill="CCEEFF"/>
          </w:tcPr>
          <w:p>
            <w:pPr>
              <w:spacing w:after="0"/>
              <w:rPr>
                <w:sz w:val="19"/>
                <w:szCs w:val="19"/>
                <w:color w:val="auto"/>
              </w:rPr>
            </w:pPr>
          </w:p>
        </w:tc>
        <w:tc>
          <w:tcPr>
            <w:tcW w:w="380" w:type="dxa"/>
            <w:vAlign w:val="bottom"/>
            <w:gridSpan w:val="2"/>
            <w:vMerge w:val="continue"/>
            <w:shd w:val="clear" w:color="auto" w:fill="CCEEFF"/>
          </w:tcPr>
          <w:p>
            <w:pPr>
              <w:spacing w:after="0"/>
              <w:rPr>
                <w:sz w:val="19"/>
                <w:szCs w:val="19"/>
                <w:color w:val="auto"/>
              </w:rPr>
            </w:pPr>
          </w:p>
        </w:tc>
        <w:tc>
          <w:tcPr>
            <w:tcW w:w="480" w:type="dxa"/>
            <w:vAlign w:val="bottom"/>
            <w:vMerge w:val="continue"/>
            <w:shd w:val="clear" w:color="auto" w:fill="CCEEFF"/>
          </w:tcPr>
          <w:p>
            <w:pPr>
              <w:spacing w:after="0"/>
              <w:rPr>
                <w:sz w:val="19"/>
                <w:szCs w:val="19"/>
                <w:color w:val="auto"/>
              </w:rPr>
            </w:pPr>
          </w:p>
        </w:tc>
        <w:tc>
          <w:tcPr>
            <w:tcW w:w="700" w:type="dxa"/>
            <w:vAlign w:val="bottom"/>
            <w:gridSpan w:val="2"/>
            <w:vMerge w:val="continue"/>
            <w:shd w:val="clear" w:color="auto" w:fill="CCEEFF"/>
          </w:tcPr>
          <w:p>
            <w:pPr>
              <w:spacing w:after="0"/>
              <w:rPr>
                <w:sz w:val="19"/>
                <w:szCs w:val="19"/>
                <w:color w:val="auto"/>
              </w:rPr>
            </w:pPr>
          </w:p>
        </w:tc>
        <w:tc>
          <w:tcPr>
            <w:tcW w:w="900" w:type="dxa"/>
            <w:vAlign w:val="bottom"/>
            <w:gridSpan w:val="2"/>
            <w:vMerge w:val="continue"/>
            <w:shd w:val="clear" w:color="auto" w:fill="CCEEFF"/>
          </w:tcPr>
          <w:p>
            <w:pPr>
              <w:spacing w:after="0"/>
              <w:rPr>
                <w:sz w:val="19"/>
                <w:szCs w:val="19"/>
                <w:color w:val="auto"/>
              </w:rPr>
            </w:pPr>
          </w:p>
        </w:tc>
        <w:tc>
          <w:tcPr>
            <w:tcW w:w="360" w:type="dxa"/>
            <w:vAlign w:val="bottom"/>
            <w:gridSpan w:val="2"/>
            <w:vMerge w:val="continue"/>
            <w:shd w:val="clear" w:color="auto" w:fill="CCEEFF"/>
          </w:tcPr>
          <w:p>
            <w:pPr>
              <w:spacing w:after="0"/>
              <w:rPr>
                <w:sz w:val="19"/>
                <w:szCs w:val="19"/>
                <w:color w:val="auto"/>
              </w:rPr>
            </w:pPr>
          </w:p>
        </w:tc>
        <w:tc>
          <w:tcPr>
            <w:tcW w:w="600" w:type="dxa"/>
            <w:vAlign w:val="bottom"/>
            <w:gridSpan w:val="2"/>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6040" w:type="dxa"/>
            <w:vAlign w:val="bottom"/>
            <w:gridSpan w:val="2"/>
          </w:tcPr>
          <w:p>
            <w:pPr>
              <w:spacing w:after="0"/>
              <w:rPr>
                <w:sz w:val="20"/>
                <w:szCs w:val="20"/>
                <w:color w:val="auto"/>
              </w:rPr>
            </w:pPr>
            <w:r>
              <w:rPr>
                <w:rFonts w:ascii="Arial" w:cs="Arial" w:eastAsia="Arial" w:hAnsi="Arial"/>
                <w:sz w:val="18"/>
                <w:szCs w:val="18"/>
                <w:color w:val="auto"/>
              </w:rPr>
              <w:t>Amount recorded into Cost of Products Sold due to hedge ineffectiveness</w:t>
            </w:r>
          </w:p>
        </w:tc>
        <w:tc>
          <w:tcPr>
            <w:tcW w:w="160" w:type="dxa"/>
            <w:vAlign w:val="bottom"/>
          </w:tcPr>
          <w:p>
            <w:pPr>
              <w:spacing w:after="0"/>
              <w:rPr>
                <w:sz w:val="20"/>
                <w:szCs w:val="20"/>
                <w:color w:val="auto"/>
              </w:rPr>
            </w:pPr>
            <w:r>
              <w:rPr>
                <w:rFonts w:ascii="Arial" w:cs="Arial" w:eastAsia="Arial" w:hAnsi="Arial"/>
                <w:sz w:val="18"/>
                <w:szCs w:val="18"/>
                <w:b w:val="1"/>
                <w:bCs w:val="1"/>
                <w:color w:val="auto"/>
              </w:rPr>
              <w:t>$</w:t>
            </w:r>
          </w:p>
        </w:tc>
        <w:tc>
          <w:tcPr>
            <w:tcW w:w="880" w:type="dxa"/>
            <w:vAlign w:val="bottom"/>
            <w:gridSpan w:val="2"/>
          </w:tcPr>
          <w:p>
            <w:pPr>
              <w:ind w:left="360"/>
              <w:spacing w:after="0"/>
              <w:rPr>
                <w:sz w:val="20"/>
                <w:szCs w:val="20"/>
                <w:color w:val="auto"/>
              </w:rPr>
            </w:pPr>
            <w:r>
              <w:rPr>
                <w:rFonts w:ascii="Arial" w:cs="Arial" w:eastAsia="Arial" w:hAnsi="Arial"/>
                <w:sz w:val="18"/>
                <w:szCs w:val="18"/>
                <w:b w:val="1"/>
                <w:bCs w:val="1"/>
                <w:color w:val="auto"/>
              </w:rPr>
              <w:t>—</w:t>
            </w:r>
          </w:p>
        </w:tc>
        <w:tc>
          <w:tcPr>
            <w:tcW w:w="380" w:type="dxa"/>
            <w:vAlign w:val="bottom"/>
            <w:gridSpan w:val="2"/>
          </w:tcPr>
          <w:p>
            <w:pPr>
              <w:ind w:left="240"/>
              <w:spacing w:after="0"/>
              <w:rPr>
                <w:sz w:val="20"/>
                <w:szCs w:val="20"/>
                <w:color w:val="auto"/>
              </w:rPr>
            </w:pPr>
            <w:r>
              <w:rPr>
                <w:rFonts w:ascii="Arial" w:cs="Arial" w:eastAsia="Arial" w:hAnsi="Arial"/>
                <w:sz w:val="18"/>
                <w:szCs w:val="18"/>
                <w:b w:val="1"/>
                <w:bCs w:val="1"/>
                <w:color w:val="auto"/>
              </w:rPr>
              <w:t>$</w:t>
            </w:r>
          </w:p>
        </w:tc>
        <w:tc>
          <w:tcPr>
            <w:tcW w:w="480" w:type="dxa"/>
            <w:vAlign w:val="bottom"/>
          </w:tcPr>
          <w:p>
            <w:pPr>
              <w:ind w:left="220"/>
              <w:spacing w:after="0"/>
              <w:rPr>
                <w:sz w:val="20"/>
                <w:szCs w:val="20"/>
                <w:color w:val="auto"/>
              </w:rPr>
            </w:pPr>
            <w:r>
              <w:rPr>
                <w:rFonts w:ascii="Arial" w:cs="Arial" w:eastAsia="Arial" w:hAnsi="Arial"/>
                <w:sz w:val="18"/>
                <w:szCs w:val="18"/>
                <w:b w:val="1"/>
                <w:bCs w:val="1"/>
                <w:color w:val="auto"/>
              </w:rPr>
              <w:t>—</w:t>
            </w:r>
          </w:p>
        </w:tc>
        <w:tc>
          <w:tcPr>
            <w:tcW w:w="700" w:type="dxa"/>
            <w:vAlign w:val="bottom"/>
            <w:gridSpan w:val="2"/>
          </w:tcPr>
          <w:p>
            <w:pPr>
              <w:ind w:left="520"/>
              <w:spacing w:after="0"/>
              <w:rPr>
                <w:sz w:val="20"/>
                <w:szCs w:val="20"/>
                <w:color w:val="auto"/>
              </w:rPr>
            </w:pPr>
            <w:r>
              <w:rPr>
                <w:rFonts w:ascii="Arial" w:cs="Arial" w:eastAsia="Arial" w:hAnsi="Arial"/>
                <w:sz w:val="18"/>
                <w:szCs w:val="18"/>
                <w:b w:val="1"/>
                <w:bCs w:val="1"/>
                <w:color w:val="auto"/>
              </w:rPr>
              <w:t>$</w:t>
            </w:r>
          </w:p>
        </w:tc>
        <w:tc>
          <w:tcPr>
            <w:tcW w:w="90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w:t>
            </w:r>
          </w:p>
        </w:tc>
        <w:tc>
          <w:tcPr>
            <w:tcW w:w="360" w:type="dxa"/>
            <w:vAlign w:val="bottom"/>
            <w:gridSpan w:val="2"/>
          </w:tcPr>
          <w:p>
            <w:pPr>
              <w:ind w:left="240"/>
              <w:spacing w:after="0"/>
              <w:rPr>
                <w:sz w:val="20"/>
                <w:szCs w:val="20"/>
                <w:color w:val="auto"/>
              </w:rPr>
            </w:pPr>
            <w:r>
              <w:rPr>
                <w:rFonts w:ascii="Arial" w:cs="Arial" w:eastAsia="Arial" w:hAnsi="Arial"/>
                <w:sz w:val="18"/>
                <w:szCs w:val="18"/>
                <w:b w:val="1"/>
                <w:bCs w:val="1"/>
                <w:color w:val="auto"/>
                <w:w w:val="99"/>
              </w:rPr>
              <w:t>$</w:t>
            </w:r>
          </w:p>
        </w:tc>
        <w:tc>
          <w:tcPr>
            <w:tcW w:w="60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bl>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 Hedges</w:t>
      </w:r>
    </w:p>
    <w:p>
      <w:pPr>
        <w:spacing w:after="0" w:line="96"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The purpose of our foreign currency hedging activities is to protect us from the risk that the eventual cash flows resulting from transactions in foreign currencies, including revenue, product costs, selling and administrative expenses and intercompany transactions will be adversely affected by changes in exchange rates. It is our policy to utilize derivatives to reduce foreign currency exchange risks where internal netting strategies cannot be effectively employed. As of December 31, 2010, hedged transactions included our customer and intercompany backlog and outstanding purchase commitments denominated primarily in the Canadian dollar, Euro, Philippine peso, Polish zloty, Singapore dollar and Republic of South Africa rand. We hedge up to 100% of anticipated exposures typically one to three months in advance, but have hedged as much as six months in advance. We generally review our exposures twice each month and adjust the amount of derivatives outstanding as needed.</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380"/>
          </w:cols>
          <w:pgMar w:left="240" w:top="459" w:right="27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A derivative designated as a hedge of a forecasted transaction is carried at fair value with the effective portion of the derivative’s fair value recorded in other comprehensive income or loss and subsequently recognized in earnings in the same period or periods the hedged transaction affects earnings. Any ineffective or excluded portion of a derivative’s gain or loss is recorded in earnings as it occurs. In some cases, amounts recorded in other comprehensive income or loss will be released to net income or loss some time after the maturity of the related derivative. The consolidated statement of income classification of effective hedge results is the same as that of the underlying exposure. For example, results of hedges of revenue and product costs are recorded in revenue and cost of product sales, respectively, when the underlying hedged transaction is recorded.</w:t>
      </w:r>
    </w:p>
    <w:p>
      <w:pPr>
        <w:spacing w:after="0" w:line="120"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As of December 31, 2010, we had $0.2 million of deferred net losses on both outstanding and matured derivatives accumulated in other comprehensive loss that are expected to be reclassified to net income or loss during the next twelve months as a result of underlying hedged transactions also being recorded in net income or loss. Actual amounts ultimately reclassified to loss will be dependent on the exchange rates in effect when derivative contracts that are currently outstanding mature. As of December 31, 2010, the maximum term over which we are hedging our cash flow exposures is five months.</w:t>
      </w:r>
    </w:p>
    <w:p>
      <w:pPr>
        <w:spacing w:after="0" w:line="113"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We formally assess both at inception and on an ongoing basis, whether the derivatives that are used in the hedging transaction have been highly effective in offsetting changes in the value or cash flows of hedged items and whether those derivatives may be expected to remain highly effective in future periods. We discontinue hedge accounting when the derivative expires or is sold, terminated, or exercised or it is no longer probable that the forecasted transaction will occur. When it is determined that a derivative is not, or has ceased to be, highly effective as a hedge, we discontinue hedge accounting and re-designate the hedge as a non-designated hedge, if it is still outstanding at the time the determination is made.</w:t>
      </w:r>
    </w:p>
    <w:p>
      <w:pPr>
        <w:spacing w:after="0" w:line="116"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When we discontinue hedge accounting because it is no longer probable that the forecasted transaction will occur in the originally expected period, the gain or loss on the derivative remains in accumulated other comprehensive income or loss and is reclassified to net income or loss when the forecasted transaction affects net income or loss. However, if it is probable that a forecasted transaction will not occur by the end of the originally specified time period or within an additional two-month period of time thereafter, the gains and losses that were accumulated in other comprehensive income or loss will be recognized immediately in net income or loss. In all situations in which hedge accounting is discontinued and the derivative remains outstanding, we will carry the derivative at its fair value on the balance sheet, recognizing future changes in the fair value in cost of product sales.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Non-Designated Hedges</w:t>
      </w:r>
    </w:p>
    <w:p>
      <w:pPr>
        <w:spacing w:after="0" w:line="96"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The total notional amount of outstanding derivatives as of December 31, 2010 not designated as cash flow hedging instruments was $33.3 million. The purpose of these hedges is to offset realized and unrealized foreign exchange gains and losses recorded on non-functional currency monetary assets and liabilities, including primarily cash balances and accounts receivable and accounts payable from third party and intercompany transactions recorded on the balance sheet. Since these gains and losses are considered by us to be operational in nature, we record both the gains and losses from the revaluation of the balance sheet transactions and the gains and losses on the derivatives in cost of products sold.</w:t>
      </w:r>
    </w:p>
    <w:p>
      <w:pPr>
        <w:spacing w:after="0" w:line="116"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During the second quarter and first two quarters of fiscal 2011 and fiscal 2010, we recorded in cost of products sold the following amount of net losses recorded on non-designated hedges as follows:</w:t>
      </w:r>
    </w:p>
    <w:p>
      <w:pPr>
        <w:spacing w:after="0" w:line="168"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5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20" w:type="dxa"/>
            <w:vAlign w:val="bottom"/>
            <w:gridSpan w:val="3"/>
          </w:tcPr>
          <w:p>
            <w:pPr>
              <w:ind w:left="440"/>
              <w:spacing w:after="0"/>
              <w:rPr>
                <w:sz w:val="20"/>
                <w:szCs w:val="20"/>
                <w:color w:val="auto"/>
              </w:rPr>
            </w:pPr>
            <w:r>
              <w:rPr>
                <w:rFonts w:ascii="Arial" w:cs="Arial" w:eastAsia="Arial" w:hAnsi="Arial"/>
                <w:sz w:val="14"/>
                <w:szCs w:val="14"/>
                <w:b w:val="1"/>
                <w:bCs w:val="1"/>
                <w:color w:val="auto"/>
                <w:w w:val="98"/>
              </w:rPr>
              <w:t>Quarter Ended</w:t>
            </w:r>
          </w:p>
        </w:tc>
        <w:tc>
          <w:tcPr>
            <w:tcW w:w="5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20" w:type="dxa"/>
            <w:vAlign w:val="bottom"/>
            <w:gridSpan w:val="6"/>
          </w:tcPr>
          <w:p>
            <w:pPr>
              <w:jc w:val="right"/>
              <w:ind w:right="540"/>
              <w:spacing w:after="0"/>
              <w:rPr>
                <w:sz w:val="20"/>
                <w:szCs w:val="20"/>
                <w:color w:val="auto"/>
              </w:rPr>
            </w:pPr>
            <w:r>
              <w:rPr>
                <w:rFonts w:ascii="Arial" w:cs="Arial" w:eastAsia="Arial" w:hAnsi="Arial"/>
                <w:sz w:val="14"/>
                <w:szCs w:val="14"/>
                <w:b w:val="1"/>
                <w:bCs w:val="1"/>
                <w:color w:val="auto"/>
              </w:rPr>
              <w:t>Two Quarters Ended</w:t>
            </w:r>
          </w:p>
        </w:tc>
      </w:tr>
      <w:tr>
        <w:trPr>
          <w:trHeight w:val="129"/>
        </w:trPr>
        <w:tc>
          <w:tcPr>
            <w:tcW w:w="5580" w:type="dxa"/>
            <w:vAlign w:val="bottom"/>
          </w:tcPr>
          <w:p>
            <w:pPr>
              <w:spacing w:after="0"/>
              <w:rPr>
                <w:sz w:val="11"/>
                <w:szCs w:val="11"/>
                <w:color w:val="auto"/>
              </w:rPr>
            </w:pPr>
          </w:p>
        </w:tc>
        <w:tc>
          <w:tcPr>
            <w:tcW w:w="1440" w:type="dxa"/>
            <w:vAlign w:val="bottom"/>
            <w:tcBorders>
              <w:top w:val="single" w:sz="8" w:color="auto"/>
            </w:tcBorders>
            <w:gridSpan w:val="3"/>
          </w:tcPr>
          <w:p>
            <w:pPr>
              <w:spacing w:after="0" w:line="129" w:lineRule="exact"/>
              <w:rPr>
                <w:sz w:val="20"/>
                <w:szCs w:val="20"/>
                <w:color w:val="auto"/>
              </w:rPr>
            </w:pPr>
            <w:r>
              <w:rPr>
                <w:rFonts w:ascii="Arial" w:cs="Arial" w:eastAsia="Arial" w:hAnsi="Arial"/>
                <w:sz w:val="14"/>
                <w:szCs w:val="14"/>
                <w:b w:val="1"/>
                <w:bCs w:val="1"/>
                <w:color w:val="auto"/>
              </w:rPr>
              <w:t>December 31,</w:t>
            </w:r>
          </w:p>
        </w:tc>
        <w:tc>
          <w:tcPr>
            <w:tcW w:w="640" w:type="dxa"/>
            <w:vAlign w:val="bottom"/>
            <w:tcBorders>
              <w:top w:val="single" w:sz="8" w:color="auto"/>
            </w:tcBorders>
            <w:gridSpan w:val="2"/>
          </w:tcPr>
          <w:p>
            <w:pPr>
              <w:ind w:left="20"/>
              <w:spacing w:after="0" w:line="129" w:lineRule="exact"/>
              <w:rPr>
                <w:sz w:val="20"/>
                <w:szCs w:val="20"/>
                <w:color w:val="auto"/>
              </w:rPr>
            </w:pPr>
            <w:r>
              <w:rPr>
                <w:rFonts w:ascii="Arial" w:cs="Arial" w:eastAsia="Arial" w:hAnsi="Arial"/>
                <w:sz w:val="14"/>
                <w:szCs w:val="14"/>
                <w:b w:val="1"/>
                <w:bCs w:val="1"/>
                <w:color w:val="auto"/>
                <w:w w:val="86"/>
              </w:rPr>
              <w:t>January 1,</w:t>
            </w:r>
          </w:p>
        </w:tc>
        <w:tc>
          <w:tcPr>
            <w:tcW w:w="660" w:type="dxa"/>
            <w:vAlign w:val="bottom"/>
          </w:tcPr>
          <w:p>
            <w:pPr>
              <w:spacing w:after="0"/>
              <w:rPr>
                <w:sz w:val="11"/>
                <w:szCs w:val="11"/>
                <w:color w:val="auto"/>
              </w:rPr>
            </w:pPr>
          </w:p>
        </w:tc>
        <w:tc>
          <w:tcPr>
            <w:tcW w:w="1140" w:type="dxa"/>
            <w:vAlign w:val="bottom"/>
            <w:tcBorders>
              <w:top w:val="single" w:sz="8" w:color="auto"/>
            </w:tcBorders>
            <w:gridSpan w:val="3"/>
          </w:tcPr>
          <w:p>
            <w:pPr>
              <w:spacing w:after="0" w:line="129" w:lineRule="exact"/>
              <w:rPr>
                <w:sz w:val="20"/>
                <w:szCs w:val="20"/>
                <w:color w:val="auto"/>
              </w:rPr>
            </w:pPr>
            <w:r>
              <w:rPr>
                <w:rFonts w:ascii="Arial" w:cs="Arial" w:eastAsia="Arial" w:hAnsi="Arial"/>
                <w:sz w:val="14"/>
                <w:szCs w:val="14"/>
                <w:b w:val="1"/>
                <w:bCs w:val="1"/>
                <w:color w:val="auto"/>
              </w:rPr>
              <w:t>December 31,</w:t>
            </w:r>
          </w:p>
        </w:tc>
        <w:tc>
          <w:tcPr>
            <w:tcW w:w="32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gridSpan w:val="2"/>
          </w:tcPr>
          <w:p>
            <w:pPr>
              <w:spacing w:after="0" w:line="129" w:lineRule="exact"/>
              <w:rPr>
                <w:sz w:val="20"/>
                <w:szCs w:val="20"/>
                <w:color w:val="auto"/>
              </w:rPr>
            </w:pPr>
            <w:r>
              <w:rPr>
                <w:rFonts w:ascii="Arial" w:cs="Arial" w:eastAsia="Arial" w:hAnsi="Arial"/>
                <w:sz w:val="14"/>
                <w:szCs w:val="14"/>
                <w:b w:val="1"/>
                <w:bCs w:val="1"/>
                <w:color w:val="auto"/>
                <w:w w:val="86"/>
              </w:rPr>
              <w:t>January 1,</w:t>
            </w:r>
          </w:p>
        </w:tc>
        <w:tc>
          <w:tcPr>
            <w:tcW w:w="100" w:type="dxa"/>
            <w:vAlign w:val="bottom"/>
          </w:tcPr>
          <w:p>
            <w:pPr>
              <w:spacing w:after="0"/>
              <w:rPr>
                <w:sz w:val="11"/>
                <w:szCs w:val="11"/>
                <w:color w:val="auto"/>
              </w:rPr>
            </w:pPr>
          </w:p>
        </w:tc>
      </w:tr>
      <w:tr>
        <w:trPr>
          <w:trHeight w:val="161"/>
        </w:trPr>
        <w:tc>
          <w:tcPr>
            <w:tcW w:w="55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86"/>
              <w:spacing w:after="0"/>
              <w:rPr>
                <w:sz w:val="20"/>
                <w:szCs w:val="20"/>
                <w:color w:val="auto"/>
              </w:rPr>
            </w:pPr>
            <w:r>
              <w:rPr>
                <w:rFonts w:ascii="Arial" w:cs="Arial" w:eastAsia="Arial" w:hAnsi="Arial"/>
                <w:sz w:val="14"/>
                <w:szCs w:val="14"/>
                <w:b w:val="1"/>
                <w:bCs w:val="1"/>
                <w:color w:val="auto"/>
              </w:rPr>
              <w:t>2010</w:t>
            </w:r>
          </w:p>
        </w:tc>
        <w:tc>
          <w:tcPr>
            <w:tcW w:w="6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102"/>
              <w:spacing w:after="0"/>
              <w:rPr>
                <w:sz w:val="20"/>
                <w:szCs w:val="20"/>
                <w:color w:val="auto"/>
              </w:rPr>
            </w:pPr>
            <w:r>
              <w:rPr>
                <w:rFonts w:ascii="Arial" w:cs="Arial" w:eastAsia="Arial" w:hAnsi="Arial"/>
                <w:sz w:val="14"/>
                <w:szCs w:val="14"/>
                <w:b w:val="1"/>
                <w:bCs w:val="1"/>
                <w:color w:val="auto"/>
                <w:w w:val="96"/>
              </w:rPr>
              <w:t>2010</w:t>
            </w:r>
          </w:p>
        </w:tc>
        <w:tc>
          <w:tcPr>
            <w:tcW w:w="6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86"/>
              <w:spacing w:after="0"/>
              <w:rPr>
                <w:sz w:val="20"/>
                <w:szCs w:val="20"/>
                <w:color w:val="auto"/>
              </w:rPr>
            </w:pPr>
            <w:r>
              <w:rPr>
                <w:rFonts w:ascii="Arial" w:cs="Arial" w:eastAsia="Arial" w:hAnsi="Arial"/>
                <w:sz w:val="14"/>
                <w:szCs w:val="14"/>
                <w:b w:val="1"/>
                <w:bCs w:val="1"/>
                <w:color w:val="auto"/>
              </w:rPr>
              <w:t>2010</w:t>
            </w:r>
          </w:p>
        </w:tc>
        <w:tc>
          <w:tcPr>
            <w:tcW w:w="3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102"/>
              <w:spacing w:after="0"/>
              <w:rPr>
                <w:sz w:val="20"/>
                <w:szCs w:val="20"/>
                <w:color w:val="auto"/>
              </w:rPr>
            </w:pPr>
            <w:r>
              <w:rPr>
                <w:rFonts w:ascii="Arial" w:cs="Arial" w:eastAsia="Arial" w:hAnsi="Arial"/>
                <w:sz w:val="14"/>
                <w:szCs w:val="14"/>
                <w:b w:val="1"/>
                <w:bCs w:val="1"/>
                <w:color w:val="auto"/>
                <w:w w:val="96"/>
              </w:rPr>
              <w:t>2010</w:t>
            </w:r>
          </w:p>
        </w:tc>
        <w:tc>
          <w:tcPr>
            <w:tcW w:w="100" w:type="dxa"/>
            <w:vAlign w:val="bottom"/>
          </w:tcPr>
          <w:p>
            <w:pPr>
              <w:spacing w:after="0"/>
              <w:rPr>
                <w:sz w:val="14"/>
                <w:szCs w:val="14"/>
                <w:color w:val="auto"/>
              </w:rPr>
            </w:pPr>
          </w:p>
        </w:tc>
      </w:tr>
      <w:tr>
        <w:trPr>
          <w:trHeight w:val="142"/>
        </w:trPr>
        <w:tc>
          <w:tcPr>
            <w:tcW w:w="5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60" w:type="dxa"/>
            <w:vAlign w:val="bottom"/>
          </w:tcPr>
          <w:p>
            <w:pPr>
              <w:spacing w:after="0" w:line="142" w:lineRule="exact"/>
              <w:rPr>
                <w:sz w:val="20"/>
                <w:szCs w:val="20"/>
                <w:color w:val="auto"/>
              </w:rPr>
            </w:pPr>
            <w:r>
              <w:rPr>
                <w:rFonts w:ascii="Arial" w:cs="Arial" w:eastAsia="Arial" w:hAnsi="Arial"/>
                <w:sz w:val="14"/>
                <w:szCs w:val="14"/>
                <w:b w:val="1"/>
                <w:bCs w:val="1"/>
                <w:color w:val="auto"/>
                <w:w w:val="81"/>
              </w:rPr>
              <w:t>(In millions)</w:t>
            </w: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Derivatives not designated as hedging instruments:</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8"/>
        </w:trPr>
        <w:tc>
          <w:tcPr>
            <w:tcW w:w="5580" w:type="dxa"/>
            <w:vAlign w:val="bottom"/>
          </w:tcPr>
          <w:p>
            <w:pPr>
              <w:spacing w:after="0"/>
              <w:rPr>
                <w:sz w:val="20"/>
                <w:szCs w:val="20"/>
                <w:color w:val="auto"/>
              </w:rPr>
            </w:pPr>
            <w:r>
              <w:rPr>
                <w:rFonts w:ascii="Arial" w:cs="Arial" w:eastAsia="Arial" w:hAnsi="Arial"/>
                <w:sz w:val="18"/>
                <w:szCs w:val="18"/>
                <w:color w:val="auto"/>
              </w:rPr>
              <w:t>Losses on foreign exchange forward contracts</w:t>
            </w:r>
          </w:p>
        </w:tc>
        <w:tc>
          <w:tcPr>
            <w:tcW w:w="160" w:type="dxa"/>
            <w:vAlign w:val="bottom"/>
          </w:tcPr>
          <w:p>
            <w:pPr>
              <w:spacing w:after="0"/>
              <w:rPr>
                <w:sz w:val="20"/>
                <w:szCs w:val="20"/>
                <w:color w:val="auto"/>
              </w:rPr>
            </w:pPr>
            <w:r>
              <w:rPr>
                <w:rFonts w:ascii="Arial" w:cs="Arial" w:eastAsia="Arial" w:hAnsi="Arial"/>
                <w:sz w:val="18"/>
                <w:szCs w:val="18"/>
                <w:b w:val="1"/>
                <w:bCs w:val="1"/>
                <w:color w:val="auto"/>
              </w:rPr>
              <w:t>$</w:t>
            </w:r>
          </w:p>
        </w:tc>
        <w:tc>
          <w:tcPr>
            <w:tcW w:w="1280" w:type="dxa"/>
            <w:vAlign w:val="bottom"/>
            <w:gridSpan w:val="2"/>
          </w:tcPr>
          <w:p>
            <w:pPr>
              <w:jc w:val="right"/>
              <w:ind w:right="600"/>
              <w:spacing w:after="0"/>
              <w:rPr>
                <w:sz w:val="20"/>
                <w:szCs w:val="20"/>
                <w:color w:val="auto"/>
              </w:rPr>
            </w:pPr>
            <w:r>
              <w:rPr>
                <w:rFonts w:ascii="Arial" w:cs="Arial" w:eastAsia="Arial" w:hAnsi="Arial"/>
                <w:sz w:val="18"/>
                <w:szCs w:val="18"/>
                <w:b w:val="1"/>
                <w:bCs w:val="1"/>
                <w:color w:val="auto"/>
              </w:rPr>
              <w:t>(0.3)</w:t>
            </w:r>
          </w:p>
        </w:tc>
        <w:tc>
          <w:tcPr>
            <w:tcW w:w="140" w:type="dxa"/>
            <w:vAlign w:val="bottom"/>
          </w:tcPr>
          <w:p>
            <w:pPr>
              <w:ind w:left="20"/>
              <w:spacing w:after="0"/>
              <w:rPr>
                <w:sz w:val="20"/>
                <w:szCs w:val="20"/>
                <w:color w:val="auto"/>
              </w:rPr>
            </w:pPr>
            <w:r>
              <w:rPr>
                <w:rFonts w:ascii="Arial" w:cs="Arial" w:eastAsia="Arial" w:hAnsi="Arial"/>
                <w:sz w:val="18"/>
                <w:szCs w:val="18"/>
                <w:b w:val="1"/>
                <w:bCs w:val="1"/>
                <w:color w:val="auto"/>
                <w:w w:val="99"/>
              </w:rPr>
              <w:t>$</w:t>
            </w:r>
          </w:p>
        </w:tc>
        <w:tc>
          <w:tcPr>
            <w:tcW w:w="1160" w:type="dxa"/>
            <w:vAlign w:val="bottom"/>
            <w:gridSpan w:val="2"/>
          </w:tcPr>
          <w:p>
            <w:pPr>
              <w:jc w:val="right"/>
              <w:ind w:right="592"/>
              <w:spacing w:after="0"/>
              <w:rPr>
                <w:sz w:val="20"/>
                <w:szCs w:val="20"/>
                <w:color w:val="auto"/>
              </w:rPr>
            </w:pPr>
            <w:r>
              <w:rPr>
                <w:rFonts w:ascii="Arial" w:cs="Arial" w:eastAsia="Arial" w:hAnsi="Arial"/>
                <w:sz w:val="18"/>
                <w:szCs w:val="18"/>
                <w:b w:val="1"/>
                <w:bCs w:val="1"/>
                <w:color w:val="auto"/>
              </w:rPr>
              <w:t>0.3</w:t>
            </w:r>
          </w:p>
        </w:tc>
        <w:tc>
          <w:tcPr>
            <w:tcW w:w="160" w:type="dxa"/>
            <w:vAlign w:val="bottom"/>
          </w:tcPr>
          <w:p>
            <w:pPr>
              <w:spacing w:after="0"/>
              <w:rPr>
                <w:sz w:val="20"/>
                <w:szCs w:val="20"/>
                <w:color w:val="auto"/>
              </w:rPr>
            </w:pPr>
            <w:r>
              <w:rPr>
                <w:rFonts w:ascii="Arial" w:cs="Arial" w:eastAsia="Arial" w:hAnsi="Arial"/>
                <w:sz w:val="18"/>
                <w:szCs w:val="18"/>
                <w:b w:val="1"/>
                <w:bCs w:val="1"/>
                <w:color w:val="auto"/>
              </w:rPr>
              <w:t>$</w:t>
            </w:r>
          </w:p>
        </w:tc>
        <w:tc>
          <w:tcPr>
            <w:tcW w:w="98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(1.2)</w:t>
            </w:r>
          </w:p>
        </w:tc>
        <w:tc>
          <w:tcPr>
            <w:tcW w:w="440" w:type="dxa"/>
            <w:vAlign w:val="bottom"/>
            <w:gridSpan w:val="2"/>
          </w:tcPr>
          <w:p>
            <w:pPr>
              <w:ind w:left="320"/>
              <w:spacing w:after="0"/>
              <w:rPr>
                <w:sz w:val="20"/>
                <w:szCs w:val="20"/>
                <w:color w:val="auto"/>
              </w:rPr>
            </w:pPr>
            <w:r>
              <w:rPr>
                <w:rFonts w:ascii="Arial" w:cs="Arial" w:eastAsia="Arial" w:hAnsi="Arial"/>
                <w:sz w:val="18"/>
                <w:szCs w:val="18"/>
                <w:b w:val="1"/>
                <w:bCs w:val="1"/>
                <w:color w:val="auto"/>
                <w:w w:val="99"/>
              </w:rPr>
              <w:t>$</w:t>
            </w:r>
          </w:p>
        </w:tc>
        <w:tc>
          <w:tcPr>
            <w:tcW w:w="60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(1.6)</w:t>
            </w:r>
          </w:p>
        </w:tc>
      </w:tr>
    </w:tbl>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Credit Risk</w:t>
      </w:r>
    </w:p>
    <w:p>
      <w:pPr>
        <w:spacing w:after="0" w:line="96"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We are exposed to credit-related losses in the event of non-performance by counterparties to hedging instruments. The counterparties to all derivative transactions are major financial institutions with investment grade credit ratings. However, this does not eliminate our exposure to credit risk with these institutions. Should any of these counterparties fail to perform as contracted, we could incur interest charges and unanticipated gains or losses on the settlement of the derivatives in addition to the recorded fair value</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45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560"/>
        <w:spacing w:after="0" w:line="259" w:lineRule="auto"/>
        <w:rPr>
          <w:sz w:val="20"/>
          <w:szCs w:val="20"/>
          <w:color w:val="auto"/>
        </w:rPr>
      </w:pPr>
      <w:r>
        <w:rPr>
          <w:rFonts w:ascii="Arial" w:cs="Arial" w:eastAsia="Arial" w:hAnsi="Arial"/>
          <w:sz w:val="18"/>
          <w:szCs w:val="18"/>
          <w:color w:val="auto"/>
        </w:rPr>
        <w:t>of the derivative due to non-delivery of the currency. To manage this risk, we have established strict counterparty credit guidelines and maintain credit relationships with several financial institutions providing foreign currency exchange services in accordance with corporate policy. As a result of the above considerations, we consider the risk of counterparty default to be immaterial.</w:t>
      </w:r>
    </w:p>
    <w:p>
      <w:pPr>
        <w:spacing w:after="0" w:line="140" w:lineRule="exact"/>
        <w:rPr>
          <w:sz w:val="20"/>
          <w:szCs w:val="20"/>
          <w:color w:val="auto"/>
        </w:rPr>
      </w:pPr>
    </w:p>
    <w:p>
      <w:pPr>
        <w:ind w:firstLine="456"/>
        <w:spacing w:after="0" w:line="314" w:lineRule="auto"/>
        <w:rPr>
          <w:sz w:val="20"/>
          <w:szCs w:val="20"/>
          <w:color w:val="auto"/>
        </w:rPr>
      </w:pPr>
      <w:r>
        <w:rPr>
          <w:rFonts w:ascii="Arial" w:cs="Arial" w:eastAsia="Arial" w:hAnsi="Arial"/>
          <w:sz w:val="15"/>
          <w:szCs w:val="15"/>
          <w:color w:val="auto"/>
        </w:rPr>
        <w:t>We have informal credit facilities with several commercial banks under which we transact foreign exchange transactions. These facilities are generally restricted to a total notional amount outstanding, a maximum settlement amount in any one day and a maximum term. There are no written agreements supporting these facilities with the exception of one bank which provided us with their general terms and conditions for trading that we acknowledged. None of the facilities are collateralized and none require compliance with financial covenants or contain cross default or other provisions which could affect other credit arrangements we have with the same or other banks. If we fail to deliver currencies as required upon settlement of a trade, the bank may require early settlement on a net basis of all derivatives outstanding and if any amounts are still owing to the bank, they may charge any cash account we have with the bank for that amount.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Legal Proceedings</w:t>
      </w:r>
    </w:p>
    <w:p>
      <w:pPr>
        <w:spacing w:after="0" w:line="96"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We and certain of our current and former executive officers and directors were named in a federal securities class action complaint filed on September 15, 2008 in the United States District Court for the District of Delaware by plaintiff Norfolk County Retirement System on behalf of an alleged class of purchasers of our securities from January 29, 2007 to July 30, 2008, including shareholders of Stratex Networks, Inc. who exchanged shares of Stratex Networks, Inc. for our shares as part of the merger between Stratex Networks and the Microwave Communications Division of Harris Corporation. This action relates to the restatement of our prior financial statements as discussed in our fiscal 2008 Annual Report on Form 10-K filed with the Securities and Exchange Commission on September 25, 2008. Similar complaints were filed in the United States District Court of Delaware on October 6 and October 30, 2008. Each complaint alleges violations of Sections 10(b) and 20(a) of the Securities Exchange Act of 1934 and Rule 10b-5 promulgated thereunder, as well as violations of Sections 11 and 15 of the Securities Act of 1933 and seeks, among other relief, determinations that the action is a proper class action, unspecified compensatory damages and reasonable attorneys’ fees and costs. The actions were consolidated on June 5, 2009 and a consolidated class action complaint was filed on July 29, 2009. On July 27, 2010, the Court denied the motions to dismiss that we and the officer and director defendants had filed. We believe that we have meritorious defenses and intend to defend ourselves vigorously.</w:t>
      </w:r>
    </w:p>
    <w:p>
      <w:pPr>
        <w:spacing w:after="0" w:line="127"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On February 8, 2007, a court order was entered against Stratex do Brasil, a subsidiary of Aviat U.S., Inc. (formerly Harris Stratex Networks Operating Corporation), in Brazil, to enforce performance of an alleged agreement between the former Stratex Networks, Inc. entity and a supplier. We have not determined what, if any, liability this may result in, as the court did not award any damages. We have appealed the decision to enforce the alleged agreement, and do not expect this litigation to have a material adverse effect on our business, operating results or financial condition.</w:t>
      </w:r>
    </w:p>
    <w:p>
      <w:pPr>
        <w:spacing w:after="0" w:line="113"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From time to time, we may be involved in various legal claims and litigation that arise in the normal course of our operations. While the results of such claims and litigation cannot be predicted with certainty, we currently believe that we are not a party to any litigation the final outcome of which is likely to have a material adverse effect on our financial position, results of operations or cash flows. However, should we not prevail in any such litigation; it could have a material adverse impact on our operating results, cash flows or financial position.</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Loss on Sale of NetBoss Assets</w:t>
      </w:r>
    </w:p>
    <w:p>
      <w:pPr>
        <w:spacing w:after="0" w:line="96" w:lineRule="exact"/>
        <w:rPr>
          <w:sz w:val="20"/>
          <w:szCs w:val="20"/>
          <w:color w:val="auto"/>
        </w:rPr>
      </w:pPr>
    </w:p>
    <w:p>
      <w:pPr>
        <w:ind w:right="240" w:firstLine="456"/>
        <w:spacing w:after="0" w:line="294" w:lineRule="auto"/>
        <w:rPr>
          <w:sz w:val="20"/>
          <w:szCs w:val="20"/>
          <w:color w:val="auto"/>
        </w:rPr>
      </w:pPr>
      <w:r>
        <w:rPr>
          <w:rFonts w:ascii="Arial" w:cs="Arial" w:eastAsia="Arial" w:hAnsi="Arial"/>
          <w:sz w:val="16"/>
          <w:szCs w:val="16"/>
          <w:color w:val="auto"/>
        </w:rPr>
        <w:t>In September 2010, we sold our NetBoss assets, consisting of internally-developed intellectual property and certain equipment, to a third party named NetBoss Technologies, Inc. for $3.8 million of cash. We recognized a $4.4 million loss on the sale of NetBoss in our Condensed Consolidated Statement of Operations during the first two quarters of fiscal 2011. NetBoss Technologies Inc. is a new company formed by its management team, our former development partner for NetBoss, and private investors. As part of the terms of the sale, we have assigned our customer contracts for NetBoss software and maintenance to NetBoss Technologies, Inc. We expect to continue to license NetBoss to operate our Network Operations Centers.</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00"/>
          </w:cols>
          <w:pgMar w:left="240" w:top="459" w:right="25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96"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This Quarterly Report on Form 10-Q, including “Item 2. Management’s Discussion and Analysis of Financial Condition and Results of Operations,” contains forward-looking statements that involve risks and uncertainties, as well as assumptions that, if they do not materialize or prove correct, could cause our results to differ materially from those expressed or implied by such forward-looking statements. All statements other than statements of historical fact are statements that could be deemed forward-looking statements, including statements of, about, concerning or regarding: our plans, strategies and objectives for future operations; our research and development efforts and new product releases and services; trends in revenue; drivers of our business and the markets in which we operate; future economic conditions, performance or outlook and changes in our industry and the markets we serve; the outcome of contingencies; the value of our contract awards; beliefs or expectations; the sufficiency of our cash and our capital needs and expenditures; our intellectual property protection; our compliance with regulatory requirements and the associated expenses; expectations regarding litigation; our intention not to pay cash dividends; seasonality of our business; the impact of foreign exchange and inflation; taxes; and assumptions underlying any of the foregoing. Forward-looking statements may be identified by the use of forward-looking terminology, such as “anticipates,” “believes,” “expects,” “may,” “should,” “would,” “will,” “intends,” “plans,” “estimates,” “strategy,” “anticipates,” “projects,” “targets,” “goals,” “seeing,” “delivering,” “continues,” “forecasts,” “future,” “predict,” “might,” “could,” “potential,” or the negative of these terms, and similar words or expressions.</w:t>
      </w:r>
    </w:p>
    <w:p>
      <w:pPr>
        <w:spacing w:after="0" w:line="124" w:lineRule="exact"/>
        <w:rPr>
          <w:sz w:val="20"/>
          <w:szCs w:val="20"/>
          <w:color w:val="auto"/>
        </w:rPr>
      </w:pPr>
    </w:p>
    <w:p>
      <w:pPr>
        <w:jc w:val="both"/>
        <w:ind w:firstLine="456"/>
        <w:spacing w:after="0" w:line="298" w:lineRule="auto"/>
        <w:rPr>
          <w:sz w:val="20"/>
          <w:szCs w:val="20"/>
          <w:color w:val="auto"/>
        </w:rPr>
      </w:pPr>
      <w:r>
        <w:rPr>
          <w:rFonts w:ascii="Arial" w:cs="Arial" w:eastAsia="Arial" w:hAnsi="Arial"/>
          <w:sz w:val="16"/>
          <w:szCs w:val="16"/>
          <w:color w:val="auto"/>
        </w:rPr>
        <w:t>These forward-looking statements are based on estimates reflecting the current beliefs of the senior management of Aviat Networks. These forward-looking statements involve a number of risks and uncertainties that could cause actual results to differ materially from those suggested by the forward-looking statements. Forward-looking statements should therefore be considered in light of various important factors, including those set forth in this document. Important factors that could cause actual results to differ materially from estimates or projections contained in the forward-looking statements include the following:</w:t>
      </w:r>
    </w:p>
    <w:p>
      <w:pPr>
        <w:spacing w:after="0" w:line="32" w:lineRule="exact"/>
        <w:rPr>
          <w:sz w:val="20"/>
          <w:szCs w:val="20"/>
          <w:color w:val="auto"/>
        </w:rPr>
      </w:pPr>
    </w:p>
    <w:p>
      <w:pPr>
        <w:ind w:left="900" w:hanging="446"/>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continued price erosion as a result of increased competition in the microwave transmission industry;</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the impact of the volume, timing and customer, product and geographic mix of our product shipments;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our ability to meet projected new product development commercial shipment dates;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customer acceptance of our new products;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the timing of the implementation and achievement of our restructuring and cost reduction plans;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our ability to successfully manage our supply chain;</w:t>
      </w:r>
    </w:p>
    <w:p>
      <w:pPr>
        <w:spacing w:after="0" w:line="90" w:lineRule="exact"/>
        <w:rPr>
          <w:rFonts w:ascii="Arial" w:cs="Arial" w:eastAsia="Arial" w:hAnsi="Arial"/>
          <w:sz w:val="18"/>
          <w:szCs w:val="18"/>
          <w:color w:val="auto"/>
        </w:rPr>
      </w:pPr>
    </w:p>
    <w:p>
      <w:pPr>
        <w:ind w:left="900" w:right="80" w:hanging="446"/>
        <w:spacing w:after="0" w:line="268" w:lineRule="auto"/>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the ability of our contract manufacturers, subcontractors and key suppliers to perform their obligations and deliver materials, components and units to us on a timely basis;</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continued weakness in the global economy affecting customer spending;</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retention of our key personnel;</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our ability to manage and maintain key customer relationships;</w:t>
      </w:r>
    </w:p>
    <w:p>
      <w:pPr>
        <w:spacing w:after="0" w:line="90" w:lineRule="exact"/>
        <w:rPr>
          <w:rFonts w:ascii="Arial" w:cs="Arial" w:eastAsia="Arial" w:hAnsi="Arial"/>
          <w:sz w:val="18"/>
          <w:szCs w:val="18"/>
          <w:color w:val="auto"/>
        </w:rPr>
      </w:pPr>
    </w:p>
    <w:p>
      <w:pPr>
        <w:ind w:left="900" w:right="360" w:hanging="446"/>
        <w:spacing w:after="0" w:line="268" w:lineRule="auto"/>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uncertain economic conditions in the telecommunications sector combined with operator and supplier consolidation; the timing of our receipt of payment for products or services from our customers;</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our failure to protect our intellectual property rights or defend against intellectual property infringement claims by others;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the effects of currency and interest rate risks;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the impact of political, economic and geographic risks on international sales.</w:t>
      </w:r>
    </w:p>
    <w:p>
      <w:pPr>
        <w:spacing w:after="0" w:line="171" w:lineRule="exact"/>
        <w:rPr>
          <w:sz w:val="20"/>
          <w:szCs w:val="20"/>
          <w:color w:val="auto"/>
        </w:rPr>
      </w:pPr>
    </w:p>
    <w:p>
      <w:pPr>
        <w:ind w:right="440" w:firstLine="447"/>
        <w:spacing w:after="0" w:line="259" w:lineRule="auto"/>
        <w:rPr>
          <w:sz w:val="20"/>
          <w:szCs w:val="20"/>
          <w:color w:val="auto"/>
        </w:rPr>
      </w:pPr>
      <w:r>
        <w:rPr>
          <w:rFonts w:ascii="Arial" w:cs="Arial" w:eastAsia="Arial" w:hAnsi="Arial"/>
          <w:sz w:val="18"/>
          <w:szCs w:val="18"/>
          <w:color w:val="auto"/>
        </w:rPr>
        <w:t>Other factors besides those listed here also could adversely affect us. See “Item 1A. Risk Factors” in our Annual Report on Form 10-K for more information regarding factors that may cause our results to differ materially from those expressed or implied by the forward-looking statements contained in this Quarterly Report on Form 10-Q.</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45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You should not place undue reliance on these forward-looking statements, which reflect our management’s opinions only as of the date of the filing of this Quarterly Report on Form 10-Q. Forward-looking statements are made in reliance upon the safe harbor provisions of Section 27A of the Securities Act of 1933, as amended, and Section 21E of the Securities Exchange Act of 1934, as amended, along with provisions of the Private Securities Litigation Reform Act of 1995, and we undertake no obligation, other than as imposed by law, to update forward-looking statements to reflect further developments or information obtained after the date of filing of this Quarterly Report on Form 10-Q or, in the case of any document incorporated by reference, the date of that document.</w:t>
      </w:r>
    </w:p>
    <w:p>
      <w:pPr>
        <w:spacing w:after="0" w:line="191" w:lineRule="exact"/>
        <w:rPr>
          <w:sz w:val="20"/>
          <w:szCs w:val="20"/>
          <w:color w:val="auto"/>
        </w:rPr>
      </w:pPr>
    </w:p>
    <w:p>
      <w:pPr>
        <w:ind w:right="2780"/>
        <w:spacing w:after="0" w:line="347" w:lineRule="auto"/>
        <w:rPr>
          <w:sz w:val="20"/>
          <w:szCs w:val="20"/>
          <w:color w:val="auto"/>
        </w:rPr>
      </w:pPr>
      <w:r>
        <w:rPr>
          <w:rFonts w:ascii="Arial" w:cs="Arial" w:eastAsia="Arial" w:hAnsi="Arial"/>
          <w:sz w:val="18"/>
          <w:szCs w:val="18"/>
          <w:b w:val="1"/>
          <w:bCs w:val="1"/>
          <w:color w:val="auto"/>
        </w:rPr>
        <w:t>RESULTS OF OPERATIONS - Quarter Ended December 31, 2010 compared with Quarter Ended January 1, 2010 Highlights</w:t>
      </w:r>
    </w:p>
    <w:p>
      <w:pPr>
        <w:spacing w:after="0" w:line="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Operations results for the second quarter of fiscal 2011 include:</w:t>
      </w:r>
    </w:p>
    <w:p>
      <w:pPr>
        <w:spacing w:after="0" w:line="90" w:lineRule="exact"/>
        <w:rPr>
          <w:sz w:val="20"/>
          <w:szCs w:val="20"/>
          <w:color w:val="auto"/>
        </w:rPr>
      </w:pPr>
    </w:p>
    <w:p>
      <w:pPr>
        <w:ind w:left="900" w:right="220" w:hanging="446"/>
        <w:spacing w:after="0" w:line="268" w:lineRule="auto"/>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Net loss was $12.5 million, or $0.21 per common share, in the second quarter of fiscal 2011 compared with a net loss of $7.9 million, or $0.13 per common share, in the second quarter of fiscal 2010;</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9"/>
        </w:numPr>
        <w:rPr>
          <w:rFonts w:ascii="Arial" w:cs="Arial" w:eastAsia="Arial" w:hAnsi="Arial"/>
          <w:sz w:val="16"/>
          <w:szCs w:val="16"/>
          <w:color w:val="auto"/>
        </w:rPr>
      </w:pPr>
      <w:r>
        <w:rPr>
          <w:rFonts w:ascii="Arial" w:cs="Arial" w:eastAsia="Arial" w:hAnsi="Arial"/>
          <w:sz w:val="16"/>
          <w:szCs w:val="16"/>
          <w:color w:val="auto"/>
        </w:rPr>
        <w:t>Revenue increased 1.3 percent to $124.2 million in the second quarter of fiscal 2011 from $122.6 million in the second quarter of fiscal 2010;</w:t>
      </w:r>
    </w:p>
    <w:p>
      <w:pPr>
        <w:spacing w:after="0" w:line="113" w:lineRule="exact"/>
        <w:rPr>
          <w:rFonts w:ascii="Arial" w:cs="Arial" w:eastAsia="Arial" w:hAnsi="Arial"/>
          <w:sz w:val="16"/>
          <w:szCs w:val="16"/>
          <w:color w:val="auto"/>
        </w:rPr>
      </w:pPr>
    </w:p>
    <w:p>
      <w:pPr>
        <w:ind w:left="900" w:right="140" w:hanging="446"/>
        <w:spacing w:after="0" w:line="268" w:lineRule="auto"/>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North America segment revenue decreased 18.2 percent to $40.4 million and the segment recorded operating loss of $1.3 million in the second quarter of fiscal 2011 compared with an operating loss of $9.6 million in the second quarter of fiscal 2010;</w:t>
      </w:r>
    </w:p>
    <w:p>
      <w:pPr>
        <w:spacing w:after="0" w:line="50" w:lineRule="exact"/>
        <w:rPr>
          <w:rFonts w:ascii="Arial" w:cs="Arial" w:eastAsia="Arial" w:hAnsi="Arial"/>
          <w:sz w:val="18"/>
          <w:szCs w:val="18"/>
          <w:color w:val="auto"/>
        </w:rPr>
      </w:pPr>
    </w:p>
    <w:p>
      <w:pPr>
        <w:ind w:left="900" w:right="120" w:hanging="446"/>
        <w:spacing w:after="0" w:line="268" w:lineRule="auto"/>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International segment revenue increased 14.5 percent to $83.8 million and the segment recorded an operating loss of $5.2 million in the second quarter of fiscal 2011 compared with operating income of $3.4 million in the second quarter of fiscal 2010;</w:t>
      </w:r>
    </w:p>
    <w:p>
      <w:pPr>
        <w:spacing w:after="0" w:line="50" w:lineRule="exact"/>
        <w:rPr>
          <w:rFonts w:ascii="Arial" w:cs="Arial" w:eastAsia="Arial" w:hAnsi="Arial"/>
          <w:sz w:val="18"/>
          <w:szCs w:val="18"/>
          <w:color w:val="auto"/>
        </w:rPr>
      </w:pPr>
    </w:p>
    <w:p>
      <w:pPr>
        <w:ind w:left="900" w:right="40" w:hanging="446"/>
        <w:spacing w:after="0" w:line="268" w:lineRule="auto"/>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Net cash used in operating activities was $3.7 million in the second quarter of fiscal 2011 compared with net cash used in operating activities of $0.5 million in the second quarter of fiscal 2010.</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Discussion of Consolidated Results of Operations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and Net Loss</w:t>
      </w:r>
    </w:p>
    <w:p>
      <w:pPr>
        <w:spacing w:after="0" w:line="207"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47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820" w:type="dxa"/>
            <w:vAlign w:val="bottom"/>
            <w:tcBorders>
              <w:bottom w:val="single" w:sz="8" w:color="auto"/>
            </w:tcBorders>
            <w:gridSpan w:val="4"/>
          </w:tcPr>
          <w:p>
            <w:pPr>
              <w:ind w:left="620"/>
              <w:spacing w:after="0"/>
              <w:rPr>
                <w:sz w:val="20"/>
                <w:szCs w:val="20"/>
                <w:color w:val="auto"/>
              </w:rPr>
            </w:pPr>
            <w:r>
              <w:rPr>
                <w:rFonts w:ascii="Arial" w:cs="Arial" w:eastAsia="Arial" w:hAnsi="Arial"/>
                <w:sz w:val="14"/>
                <w:szCs w:val="14"/>
                <w:b w:val="1"/>
                <w:bCs w:val="1"/>
                <w:color w:val="auto"/>
              </w:rPr>
              <w:t>Quarter Ended</w:t>
            </w:r>
          </w:p>
        </w:tc>
        <w:tc>
          <w:tcPr>
            <w:tcW w:w="480" w:type="dxa"/>
            <w:vAlign w:val="bottom"/>
            <w:tcBorders>
              <w:bottom w:val="single" w:sz="8" w:color="auto"/>
            </w:tcBorders>
          </w:tcPr>
          <w:p>
            <w:pPr>
              <w:spacing w:after="0"/>
              <w:rPr>
                <w:sz w:val="14"/>
                <w:szCs w:val="14"/>
                <w:color w:val="auto"/>
              </w:rPr>
            </w:pPr>
          </w:p>
        </w:tc>
        <w:tc>
          <w:tcPr>
            <w:tcW w:w="1060" w:type="dxa"/>
            <w:vAlign w:val="bottom"/>
          </w:tcPr>
          <w:p>
            <w:pPr>
              <w:spacing w:after="0"/>
              <w:rPr>
                <w:sz w:val="14"/>
                <w:szCs w:val="14"/>
                <w:color w:val="auto"/>
              </w:rPr>
            </w:pPr>
          </w:p>
        </w:tc>
        <w:tc>
          <w:tcPr>
            <w:tcW w:w="136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84"/>
              </w:rPr>
              <w:t>Percentage</w:t>
            </w:r>
          </w:p>
        </w:tc>
        <w:tc>
          <w:tcPr>
            <w:tcW w:w="0" w:type="dxa"/>
            <w:vAlign w:val="bottom"/>
          </w:tcPr>
          <w:p>
            <w:pPr>
              <w:spacing w:after="0"/>
              <w:rPr>
                <w:sz w:val="1"/>
                <w:szCs w:val="1"/>
                <w:color w:val="auto"/>
              </w:rPr>
            </w:pPr>
          </w:p>
        </w:tc>
      </w:tr>
      <w:tr>
        <w:trPr>
          <w:trHeight w:val="129"/>
        </w:trPr>
        <w:tc>
          <w:tcPr>
            <w:tcW w:w="4700" w:type="dxa"/>
            <w:vAlign w:val="bottom"/>
          </w:tcPr>
          <w:p>
            <w:pPr>
              <w:spacing w:after="0"/>
              <w:rPr>
                <w:sz w:val="11"/>
                <w:szCs w:val="11"/>
                <w:color w:val="auto"/>
              </w:rPr>
            </w:pPr>
          </w:p>
        </w:tc>
        <w:tc>
          <w:tcPr>
            <w:tcW w:w="120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December 31,</w:t>
            </w:r>
          </w:p>
        </w:tc>
        <w:tc>
          <w:tcPr>
            <w:tcW w:w="640" w:type="dxa"/>
            <w:vAlign w:val="bottom"/>
          </w:tcPr>
          <w:p>
            <w:pPr>
              <w:spacing w:after="0"/>
              <w:rPr>
                <w:sz w:val="11"/>
                <w:szCs w:val="11"/>
                <w:color w:val="auto"/>
              </w:rPr>
            </w:pPr>
          </w:p>
        </w:tc>
        <w:tc>
          <w:tcPr>
            <w:tcW w:w="62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w w:val="86"/>
              </w:rPr>
              <w:t>January 1,</w:t>
            </w:r>
          </w:p>
        </w:tc>
        <w:tc>
          <w:tcPr>
            <w:tcW w:w="1060" w:type="dxa"/>
            <w:vAlign w:val="bottom"/>
          </w:tcPr>
          <w:p>
            <w:pPr>
              <w:spacing w:after="0"/>
              <w:rPr>
                <w:sz w:val="11"/>
                <w:szCs w:val="11"/>
                <w:color w:val="auto"/>
              </w:rPr>
            </w:pPr>
          </w:p>
        </w:tc>
        <w:tc>
          <w:tcPr>
            <w:tcW w:w="136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47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80"/>
              <w:spacing w:after="0"/>
              <w:rPr>
                <w:sz w:val="20"/>
                <w:szCs w:val="20"/>
                <w:color w:val="auto"/>
              </w:rPr>
            </w:pPr>
            <w:r>
              <w:rPr>
                <w:rFonts w:ascii="Arial" w:cs="Arial" w:eastAsia="Arial" w:hAnsi="Arial"/>
                <w:sz w:val="14"/>
                <w:szCs w:val="14"/>
                <w:b w:val="1"/>
                <w:bCs w:val="1"/>
                <w:color w:val="auto"/>
              </w:rPr>
              <w:t>2010</w:t>
            </w:r>
          </w:p>
        </w:tc>
        <w:tc>
          <w:tcPr>
            <w:tcW w:w="4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97"/>
              <w:spacing w:after="0"/>
              <w:rPr>
                <w:sz w:val="20"/>
                <w:szCs w:val="20"/>
                <w:color w:val="auto"/>
              </w:rPr>
            </w:pPr>
            <w:r>
              <w:rPr>
                <w:rFonts w:ascii="Arial" w:cs="Arial" w:eastAsia="Arial" w:hAnsi="Arial"/>
                <w:sz w:val="14"/>
                <w:szCs w:val="14"/>
                <w:b w:val="1"/>
                <w:bCs w:val="1"/>
                <w:color w:val="auto"/>
                <w:w w:val="89"/>
              </w:rPr>
              <w:t>2010</w:t>
            </w:r>
          </w:p>
        </w:tc>
        <w:tc>
          <w:tcPr>
            <w:tcW w:w="1060" w:type="dxa"/>
            <w:vAlign w:val="bottom"/>
          </w:tcPr>
          <w:p>
            <w:pPr>
              <w:spacing w:after="0"/>
              <w:rPr>
                <w:sz w:val="14"/>
                <w:szCs w:val="14"/>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4"/>
              </w:rPr>
              <w:t>Increase/(Decrease)</w:t>
            </w: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60" w:type="dxa"/>
            <w:vAlign w:val="bottom"/>
            <w:gridSpan w:val="3"/>
          </w:tcPr>
          <w:p>
            <w:pPr>
              <w:jc w:val="right"/>
              <w:spacing w:after="0" w:line="142" w:lineRule="exact"/>
              <w:rPr>
                <w:sz w:val="20"/>
                <w:szCs w:val="20"/>
                <w:color w:val="auto"/>
              </w:rPr>
            </w:pPr>
            <w:r>
              <w:rPr>
                <w:rFonts w:ascii="Arial" w:cs="Arial" w:eastAsia="Arial" w:hAnsi="Arial"/>
                <w:sz w:val="14"/>
                <w:szCs w:val="14"/>
                <w:b w:val="1"/>
                <w:bCs w:val="1"/>
                <w:color w:val="auto"/>
                <w:w w:val="98"/>
              </w:rPr>
              <w:t>(In millions, except</w:t>
            </w:r>
          </w:p>
        </w:tc>
        <w:tc>
          <w:tcPr>
            <w:tcW w:w="1060" w:type="dxa"/>
            <w:vAlign w:val="bottom"/>
          </w:tcPr>
          <w:p>
            <w:pPr>
              <w:jc w:val="right"/>
              <w:ind w:right="192"/>
              <w:spacing w:after="0" w:line="142" w:lineRule="exact"/>
              <w:rPr>
                <w:sz w:val="20"/>
                <w:szCs w:val="20"/>
                <w:color w:val="auto"/>
              </w:rPr>
            </w:pPr>
            <w:r>
              <w:rPr>
                <w:rFonts w:ascii="Arial" w:cs="Arial" w:eastAsia="Arial" w:hAnsi="Arial"/>
                <w:sz w:val="14"/>
                <w:szCs w:val="14"/>
                <w:b w:val="1"/>
                <w:bCs w:val="1"/>
                <w:color w:val="auto"/>
                <w:w w:val="89"/>
              </w:rPr>
              <w:t>percentages)</w:t>
            </w:r>
          </w:p>
        </w:tc>
        <w:tc>
          <w:tcPr>
            <w:tcW w:w="1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10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b w:val="1"/>
                <w:bCs w:val="1"/>
                <w:color w:val="auto"/>
              </w:rPr>
              <w:t>124.2</w:t>
            </w:r>
          </w:p>
        </w:tc>
        <w:tc>
          <w:tcPr>
            <w:tcW w:w="780" w:type="dxa"/>
            <w:vAlign w:val="bottom"/>
            <w:gridSpan w:val="2"/>
            <w:shd w:val="clear" w:color="auto" w:fill="CCEEFF"/>
          </w:tcPr>
          <w:p>
            <w:pPr>
              <w:ind w:left="640"/>
              <w:spacing w:after="0"/>
              <w:rPr>
                <w:sz w:val="20"/>
                <w:szCs w:val="20"/>
                <w:color w:val="auto"/>
              </w:rPr>
            </w:pPr>
            <w:r>
              <w:rPr>
                <w:rFonts w:ascii="Arial" w:cs="Arial" w:eastAsia="Arial" w:hAnsi="Arial"/>
                <w:sz w:val="18"/>
                <w:szCs w:val="18"/>
                <w:b w:val="1"/>
                <w:bCs w:val="1"/>
                <w:color w:val="auto"/>
              </w:rPr>
              <w:t>$</w:t>
            </w:r>
          </w:p>
        </w:tc>
        <w:tc>
          <w:tcPr>
            <w:tcW w:w="1540" w:type="dxa"/>
            <w:vAlign w:val="bottom"/>
            <w:gridSpan w:val="2"/>
            <w:shd w:val="clear" w:color="auto" w:fill="CCEEFF"/>
          </w:tcPr>
          <w:p>
            <w:pPr>
              <w:jc w:val="right"/>
              <w:ind w:right="992"/>
              <w:spacing w:after="0"/>
              <w:rPr>
                <w:sz w:val="20"/>
                <w:szCs w:val="20"/>
                <w:color w:val="auto"/>
              </w:rPr>
            </w:pPr>
            <w:r>
              <w:rPr>
                <w:rFonts w:ascii="Arial" w:cs="Arial" w:eastAsia="Arial" w:hAnsi="Arial"/>
                <w:sz w:val="18"/>
                <w:szCs w:val="18"/>
                <w:b w:val="1"/>
                <w:bCs w:val="1"/>
                <w:color w:val="auto"/>
              </w:rPr>
              <w:t>122.6</w:t>
            </w:r>
          </w:p>
        </w:tc>
        <w:tc>
          <w:tcPr>
            <w:tcW w:w="1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1.3%</w:t>
            </w:r>
          </w:p>
        </w:tc>
        <w:tc>
          <w:tcPr>
            <w:tcW w:w="0" w:type="dxa"/>
            <w:vAlign w:val="bottom"/>
          </w:tcPr>
          <w:p>
            <w:pPr>
              <w:spacing w:after="0"/>
              <w:rPr>
                <w:sz w:val="1"/>
                <w:szCs w:val="1"/>
                <w:color w:val="auto"/>
              </w:rPr>
            </w:pPr>
          </w:p>
        </w:tc>
      </w:tr>
      <w:tr>
        <w:trPr>
          <w:trHeight w:val="216"/>
        </w:trPr>
        <w:tc>
          <w:tcPr>
            <w:tcW w:w="4700" w:type="dxa"/>
            <w:vAlign w:val="bottom"/>
          </w:tcPr>
          <w:p>
            <w:pPr>
              <w:spacing w:after="0"/>
              <w:rPr>
                <w:sz w:val="20"/>
                <w:szCs w:val="20"/>
                <w:color w:val="auto"/>
              </w:rPr>
            </w:pPr>
            <w:r>
              <w:rPr>
                <w:rFonts w:ascii="Arial" w:cs="Arial" w:eastAsia="Arial" w:hAnsi="Arial"/>
                <w:sz w:val="18"/>
                <w:szCs w:val="18"/>
                <w:color w:val="auto"/>
              </w:rPr>
              <w:t>Net loss</w:t>
            </w:r>
          </w:p>
        </w:tc>
        <w:tc>
          <w:tcPr>
            <w:tcW w:w="160" w:type="dxa"/>
            <w:vAlign w:val="bottom"/>
          </w:tcPr>
          <w:p>
            <w:pPr>
              <w:spacing w:after="0"/>
              <w:rPr>
                <w:sz w:val="20"/>
                <w:szCs w:val="20"/>
                <w:color w:val="auto"/>
              </w:rPr>
            </w:pPr>
            <w:r>
              <w:rPr>
                <w:rFonts w:ascii="Arial" w:cs="Arial" w:eastAsia="Arial" w:hAnsi="Arial"/>
                <w:sz w:val="18"/>
                <w:szCs w:val="18"/>
                <w:b w:val="1"/>
                <w:bCs w:val="1"/>
                <w:color w:val="auto"/>
              </w:rPr>
              <w:t>$</w:t>
            </w:r>
          </w:p>
        </w:tc>
        <w:tc>
          <w:tcPr>
            <w:tcW w:w="104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(12.5)</w:t>
            </w:r>
          </w:p>
        </w:tc>
        <w:tc>
          <w:tcPr>
            <w:tcW w:w="780" w:type="dxa"/>
            <w:vAlign w:val="bottom"/>
            <w:gridSpan w:val="2"/>
          </w:tcPr>
          <w:p>
            <w:pPr>
              <w:ind w:left="640"/>
              <w:spacing w:after="0"/>
              <w:rPr>
                <w:sz w:val="20"/>
                <w:szCs w:val="20"/>
                <w:color w:val="auto"/>
              </w:rPr>
            </w:pPr>
            <w:r>
              <w:rPr>
                <w:rFonts w:ascii="Arial" w:cs="Arial" w:eastAsia="Arial" w:hAnsi="Arial"/>
                <w:sz w:val="18"/>
                <w:szCs w:val="18"/>
                <w:b w:val="1"/>
                <w:bCs w:val="1"/>
                <w:color w:val="auto"/>
              </w:rPr>
              <w:t>$</w:t>
            </w:r>
          </w:p>
        </w:tc>
        <w:tc>
          <w:tcPr>
            <w:tcW w:w="1540" w:type="dxa"/>
            <w:vAlign w:val="bottom"/>
            <w:gridSpan w:val="2"/>
          </w:tcPr>
          <w:p>
            <w:pPr>
              <w:jc w:val="right"/>
              <w:ind w:right="932"/>
              <w:spacing w:after="0"/>
              <w:rPr>
                <w:sz w:val="20"/>
                <w:szCs w:val="20"/>
                <w:color w:val="auto"/>
              </w:rPr>
            </w:pPr>
            <w:r>
              <w:rPr>
                <w:rFonts w:ascii="Arial" w:cs="Arial" w:eastAsia="Arial" w:hAnsi="Arial"/>
                <w:sz w:val="18"/>
                <w:szCs w:val="18"/>
                <w:b w:val="1"/>
                <w:bCs w:val="1"/>
                <w:color w:val="auto"/>
              </w:rPr>
              <w:t>(7.9)</w:t>
            </w:r>
          </w:p>
        </w:tc>
        <w:tc>
          <w:tcPr>
            <w:tcW w:w="136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58%</w:t>
            </w:r>
          </w:p>
        </w:tc>
        <w:tc>
          <w:tcPr>
            <w:tcW w:w="0" w:type="dxa"/>
            <w:vAlign w:val="bottom"/>
          </w:tcPr>
          <w:p>
            <w:pPr>
              <w:spacing w:after="0"/>
              <w:rPr>
                <w:sz w:val="1"/>
                <w:szCs w:val="1"/>
                <w:color w:val="auto"/>
              </w:rPr>
            </w:pPr>
          </w:p>
        </w:tc>
      </w:tr>
      <w:tr>
        <w:trPr>
          <w:trHeight w:val="216"/>
        </w:trPr>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 of revenue</w:t>
            </w: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(10.1)%</w:t>
            </w: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752"/>
              <w:spacing w:after="0"/>
              <w:rPr>
                <w:sz w:val="20"/>
                <w:szCs w:val="20"/>
                <w:color w:val="auto"/>
              </w:rPr>
            </w:pPr>
            <w:r>
              <w:rPr>
                <w:rFonts w:ascii="Arial" w:cs="Arial" w:eastAsia="Arial" w:hAnsi="Arial"/>
                <w:sz w:val="18"/>
                <w:szCs w:val="18"/>
                <w:b w:val="1"/>
                <w:bCs w:val="1"/>
                <w:color w:val="auto"/>
              </w:rPr>
              <w:t>(6.4)%</w:t>
            </w: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54" w:lineRule="exact"/>
        <w:rPr>
          <w:sz w:val="20"/>
          <w:szCs w:val="20"/>
          <w:color w:val="auto"/>
        </w:rPr>
      </w:pPr>
    </w:p>
    <w:p>
      <w:pPr>
        <w:ind w:left="460"/>
        <w:spacing w:after="0"/>
        <w:rPr>
          <w:sz w:val="20"/>
          <w:szCs w:val="20"/>
          <w:color w:val="auto"/>
        </w:rPr>
      </w:pPr>
      <w:r>
        <w:rPr>
          <w:rFonts w:ascii="Arial" w:cs="Arial" w:eastAsia="Arial" w:hAnsi="Arial"/>
          <w:sz w:val="15"/>
          <w:szCs w:val="15"/>
          <w:color w:val="auto"/>
        </w:rPr>
        <w:t>Revenue by region comparing the second quarter of fiscal 2011 with the second quarter of fiscal 2010 and the related changes are shown in the table below:</w:t>
      </w:r>
    </w:p>
    <w:p>
      <w:pPr>
        <w:spacing w:after="0" w:line="242"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1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4"/>
                <w:szCs w:val="14"/>
                <w:b w:val="1"/>
                <w:bCs w:val="1"/>
                <w:color w:val="auto"/>
              </w:rPr>
              <w:t>Quarter Ended</w:t>
            </w:r>
          </w:p>
        </w:tc>
        <w:tc>
          <w:tcPr>
            <w:tcW w:w="1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700" w:type="dxa"/>
            <w:vAlign w:val="bottom"/>
            <w:gridSpan w:val="2"/>
            <w:vMerge w:val="restart"/>
          </w:tcPr>
          <w:p>
            <w:pPr>
              <w:jc w:val="right"/>
              <w:ind w:right="1120"/>
              <w:spacing w:after="0"/>
              <w:rPr>
                <w:sz w:val="20"/>
                <w:szCs w:val="20"/>
                <w:color w:val="auto"/>
              </w:rPr>
            </w:pPr>
            <w:r>
              <w:rPr>
                <w:rFonts w:ascii="Arial" w:cs="Arial" w:eastAsia="Arial" w:hAnsi="Arial"/>
                <w:sz w:val="14"/>
                <w:szCs w:val="14"/>
                <w:b w:val="1"/>
                <w:bCs w:val="1"/>
                <w:color w:val="auto"/>
              </w:rPr>
              <w:t>Amount</w:t>
            </w:r>
          </w:p>
        </w:tc>
        <w:tc>
          <w:tcPr>
            <w:tcW w:w="142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82"/>
              </w:rPr>
              <w:t>Percentage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180" w:type="dxa"/>
            <w:vAlign w:val="bottom"/>
          </w:tcPr>
          <w:p>
            <w:pPr>
              <w:spacing w:after="0"/>
              <w:rPr>
                <w:sz w:val="11"/>
                <w:szCs w:val="11"/>
                <w:color w:val="auto"/>
              </w:rPr>
            </w:pPr>
          </w:p>
        </w:tc>
        <w:tc>
          <w:tcPr>
            <w:tcW w:w="1580" w:type="dxa"/>
            <w:vAlign w:val="bottom"/>
            <w:gridSpan w:val="3"/>
          </w:tcPr>
          <w:p>
            <w:pPr>
              <w:ind w:left="20"/>
              <w:spacing w:after="0" w:line="129" w:lineRule="exact"/>
              <w:rPr>
                <w:sz w:val="20"/>
                <w:szCs w:val="20"/>
                <w:color w:val="auto"/>
              </w:rPr>
            </w:pPr>
            <w:r>
              <w:rPr>
                <w:rFonts w:ascii="Arial" w:cs="Arial" w:eastAsia="Arial" w:hAnsi="Arial"/>
                <w:sz w:val="14"/>
                <w:szCs w:val="14"/>
                <w:b w:val="1"/>
                <w:bCs w:val="1"/>
                <w:color w:val="auto"/>
              </w:rPr>
              <w:t>December 31,</w:t>
            </w:r>
          </w:p>
        </w:tc>
        <w:tc>
          <w:tcPr>
            <w:tcW w:w="62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w w:val="86"/>
              </w:rPr>
              <w:t>January 1,</w:t>
            </w: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700" w:type="dxa"/>
            <w:vAlign w:val="bottom"/>
            <w:gridSpan w:val="2"/>
            <w:vMerge w:val="continue"/>
          </w:tcPr>
          <w:p>
            <w:pPr>
              <w:spacing w:after="0"/>
              <w:rPr>
                <w:sz w:val="11"/>
                <w:szCs w:val="11"/>
                <w:color w:val="auto"/>
              </w:rPr>
            </w:pPr>
          </w:p>
        </w:tc>
        <w:tc>
          <w:tcPr>
            <w:tcW w:w="142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1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77"/>
              <w:spacing w:after="0"/>
              <w:rPr>
                <w:sz w:val="20"/>
                <w:szCs w:val="20"/>
                <w:color w:val="auto"/>
              </w:rPr>
            </w:pPr>
            <w:r>
              <w:rPr>
                <w:rFonts w:ascii="Arial" w:cs="Arial" w:eastAsia="Arial" w:hAnsi="Arial"/>
                <w:sz w:val="14"/>
                <w:szCs w:val="14"/>
                <w:b w:val="1"/>
                <w:bCs w:val="1"/>
                <w:color w:val="auto"/>
              </w:rPr>
              <w:t>2010</w:t>
            </w:r>
          </w:p>
        </w:tc>
        <w:tc>
          <w:tcPr>
            <w:tcW w:w="7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97"/>
              <w:spacing w:after="0"/>
              <w:rPr>
                <w:sz w:val="20"/>
                <w:szCs w:val="20"/>
                <w:color w:val="auto"/>
              </w:rPr>
            </w:pPr>
            <w:r>
              <w:rPr>
                <w:rFonts w:ascii="Arial" w:cs="Arial" w:eastAsia="Arial" w:hAnsi="Arial"/>
                <w:sz w:val="14"/>
                <w:szCs w:val="14"/>
                <w:b w:val="1"/>
                <w:bCs w:val="1"/>
                <w:color w:val="auto"/>
                <w:w w:val="96"/>
              </w:rPr>
              <w:t>2010</w:t>
            </w:r>
          </w:p>
        </w:tc>
        <w:tc>
          <w:tcPr>
            <w:tcW w:w="760" w:type="dxa"/>
            <w:vAlign w:val="bottom"/>
          </w:tcPr>
          <w:p>
            <w:pPr>
              <w:spacing w:after="0"/>
              <w:rPr>
                <w:sz w:val="14"/>
                <w:szCs w:val="14"/>
                <w:color w:val="auto"/>
              </w:rPr>
            </w:pPr>
          </w:p>
        </w:tc>
        <w:tc>
          <w:tcPr>
            <w:tcW w:w="114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84"/>
              </w:rPr>
              <w:t>Increase/(Decrease)</w:t>
            </w:r>
          </w:p>
        </w:tc>
        <w:tc>
          <w:tcPr>
            <w:tcW w:w="780" w:type="dxa"/>
            <w:vAlign w:val="bottom"/>
          </w:tcPr>
          <w:p>
            <w:pPr>
              <w:spacing w:after="0"/>
              <w:rPr>
                <w:sz w:val="14"/>
                <w:szCs w:val="14"/>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6"/>
              </w:rPr>
              <w:t>Increase/(Decrease)</w:t>
            </w: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0" w:type="dxa"/>
            <w:vAlign w:val="bottom"/>
            <w:gridSpan w:val="4"/>
          </w:tcPr>
          <w:p>
            <w:pPr>
              <w:jc w:val="right"/>
              <w:ind w:right="75"/>
              <w:spacing w:after="0" w:line="142" w:lineRule="exact"/>
              <w:rPr>
                <w:sz w:val="20"/>
                <w:szCs w:val="20"/>
                <w:color w:val="auto"/>
              </w:rPr>
            </w:pPr>
            <w:r>
              <w:rPr>
                <w:rFonts w:ascii="Arial" w:cs="Arial" w:eastAsia="Arial" w:hAnsi="Arial"/>
                <w:sz w:val="14"/>
                <w:szCs w:val="14"/>
                <w:b w:val="1"/>
                <w:bCs w:val="1"/>
                <w:color w:val="auto"/>
              </w:rPr>
              <w:t>(In millions, except percentages)</w:t>
            </w:r>
          </w:p>
        </w:tc>
        <w:tc>
          <w:tcPr>
            <w:tcW w:w="7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North America</w:t>
            </w:r>
          </w:p>
        </w:tc>
        <w:tc>
          <w:tcPr>
            <w:tcW w:w="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140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b w:val="1"/>
                <w:bCs w:val="1"/>
                <w:color w:val="auto"/>
              </w:rPr>
              <w:t>40.4</w:t>
            </w:r>
          </w:p>
        </w:tc>
        <w:tc>
          <w:tcPr>
            <w:tcW w:w="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9"/>
              </w:rPr>
              <w:t>$</w:t>
            </w:r>
          </w:p>
        </w:tc>
        <w:tc>
          <w:tcPr>
            <w:tcW w:w="126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b w:val="1"/>
                <w:bCs w:val="1"/>
                <w:color w:val="auto"/>
              </w:rPr>
              <w:t>49.4</w:t>
            </w:r>
          </w:p>
        </w:tc>
        <w:tc>
          <w:tcPr>
            <w:tcW w:w="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170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b w:val="1"/>
                <w:bCs w:val="1"/>
                <w:color w:val="auto"/>
              </w:rPr>
              <w:t>(9.0)</w:t>
            </w:r>
          </w:p>
        </w:tc>
        <w:tc>
          <w:tcPr>
            <w:tcW w:w="14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(18.2)%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tcPr>
          <w:p>
            <w:pPr>
              <w:spacing w:after="0"/>
              <w:rPr>
                <w:sz w:val="20"/>
                <w:szCs w:val="20"/>
                <w:color w:val="auto"/>
              </w:rPr>
            </w:pPr>
            <w:r>
              <w:rPr>
                <w:rFonts w:ascii="Arial" w:cs="Arial" w:eastAsia="Arial" w:hAnsi="Arial"/>
                <w:sz w:val="18"/>
                <w:szCs w:val="18"/>
                <w:b w:val="1"/>
                <w:bCs w:val="1"/>
                <w:color w:val="auto"/>
              </w:rPr>
              <w:t>International:</w:t>
            </w: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Africa</w:t>
            </w:r>
          </w:p>
        </w:tc>
        <w:tc>
          <w:tcPr>
            <w:tcW w:w="1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b w:val="1"/>
                <w:bCs w:val="1"/>
                <w:color w:val="auto"/>
              </w:rPr>
              <w:t>26.2</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b w:val="1"/>
                <w:bCs w:val="1"/>
                <w:color w:val="auto"/>
              </w:rPr>
              <w:t>18.6</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7.6</w:t>
            </w:r>
          </w:p>
        </w:tc>
        <w:tc>
          <w:tcPr>
            <w:tcW w:w="7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40.9%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tcPr>
          <w:p>
            <w:pPr>
              <w:ind w:left="420"/>
              <w:spacing w:after="0"/>
              <w:rPr>
                <w:sz w:val="20"/>
                <w:szCs w:val="20"/>
                <w:color w:val="auto"/>
              </w:rPr>
            </w:pPr>
            <w:r>
              <w:rPr>
                <w:rFonts w:ascii="Arial" w:cs="Arial" w:eastAsia="Arial" w:hAnsi="Arial"/>
                <w:sz w:val="18"/>
                <w:szCs w:val="18"/>
                <w:color w:val="auto"/>
              </w:rPr>
              <w:t>Europe, Middle East, and Russia</w:t>
            </w:r>
          </w:p>
        </w:tc>
        <w:tc>
          <w:tcPr>
            <w:tcW w:w="180" w:type="dxa"/>
            <w:vAlign w:val="bottom"/>
          </w:tcPr>
          <w:p>
            <w:pPr>
              <w:spacing w:after="0"/>
              <w:rPr>
                <w:sz w:val="18"/>
                <w:szCs w:val="18"/>
                <w:color w:val="auto"/>
              </w:rPr>
            </w:pPr>
          </w:p>
        </w:tc>
        <w:tc>
          <w:tcPr>
            <w:tcW w:w="1400" w:type="dxa"/>
            <w:vAlign w:val="bottom"/>
            <w:gridSpan w:val="2"/>
          </w:tcPr>
          <w:p>
            <w:pPr>
              <w:jc w:val="right"/>
              <w:ind w:right="780"/>
              <w:spacing w:after="0"/>
              <w:rPr>
                <w:sz w:val="20"/>
                <w:szCs w:val="20"/>
                <w:color w:val="auto"/>
              </w:rPr>
            </w:pPr>
            <w:r>
              <w:rPr>
                <w:rFonts w:ascii="Arial" w:cs="Arial" w:eastAsia="Arial" w:hAnsi="Arial"/>
                <w:sz w:val="18"/>
                <w:szCs w:val="18"/>
                <w:b w:val="1"/>
                <w:bCs w:val="1"/>
                <w:color w:val="auto"/>
              </w:rPr>
              <w:t>33.7</w:t>
            </w:r>
          </w:p>
        </w:tc>
        <w:tc>
          <w:tcPr>
            <w:tcW w:w="120" w:type="dxa"/>
            <w:vAlign w:val="bottom"/>
          </w:tcPr>
          <w:p>
            <w:pPr>
              <w:spacing w:after="0"/>
              <w:rPr>
                <w:sz w:val="18"/>
                <w:szCs w:val="18"/>
                <w:color w:val="auto"/>
              </w:rPr>
            </w:pPr>
          </w:p>
        </w:tc>
        <w:tc>
          <w:tcPr>
            <w:tcW w:w="1260" w:type="dxa"/>
            <w:vAlign w:val="bottom"/>
            <w:gridSpan w:val="2"/>
          </w:tcPr>
          <w:p>
            <w:pPr>
              <w:jc w:val="right"/>
              <w:ind w:right="760"/>
              <w:spacing w:after="0"/>
              <w:rPr>
                <w:sz w:val="20"/>
                <w:szCs w:val="20"/>
                <w:color w:val="auto"/>
              </w:rPr>
            </w:pPr>
            <w:r>
              <w:rPr>
                <w:rFonts w:ascii="Arial" w:cs="Arial" w:eastAsia="Arial" w:hAnsi="Arial"/>
                <w:sz w:val="18"/>
                <w:szCs w:val="18"/>
                <w:b w:val="1"/>
                <w:bCs w:val="1"/>
                <w:color w:val="auto"/>
              </w:rPr>
              <w:t>29.9</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3.8</w:t>
            </w:r>
          </w:p>
        </w:tc>
        <w:tc>
          <w:tcPr>
            <w:tcW w:w="78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Latin America and Asia Pacific</w:t>
            </w:r>
          </w:p>
        </w:tc>
        <w:tc>
          <w:tcPr>
            <w:tcW w:w="1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b w:val="1"/>
                <w:bCs w:val="1"/>
                <w:color w:val="auto"/>
              </w:rPr>
              <w:t>23.9</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b w:val="1"/>
                <w:bCs w:val="1"/>
                <w:color w:val="auto"/>
              </w:rPr>
              <w:t>24.7</w:t>
            </w:r>
          </w:p>
        </w:tc>
        <w:tc>
          <w:tcPr>
            <w:tcW w:w="22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b w:val="1"/>
                <w:bCs w:val="1"/>
                <w:color w:val="auto"/>
              </w:rPr>
              <w:t>(0.8)</w:t>
            </w:r>
          </w:p>
        </w:tc>
        <w:tc>
          <w:tcPr>
            <w:tcW w:w="14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(3.2)%</w:t>
            </w:r>
          </w:p>
        </w:tc>
        <w:tc>
          <w:tcPr>
            <w:tcW w:w="0" w:type="dxa"/>
            <w:vAlign w:val="bottom"/>
          </w:tcPr>
          <w:p>
            <w:pPr>
              <w:spacing w:after="0"/>
              <w:rPr>
                <w:sz w:val="1"/>
                <w:szCs w:val="1"/>
                <w:color w:val="auto"/>
              </w:rPr>
            </w:pPr>
          </w:p>
        </w:tc>
      </w:tr>
      <w:tr>
        <w:trPr>
          <w:trHeight w:val="230"/>
        </w:trPr>
        <w:tc>
          <w:tcPr>
            <w:tcW w:w="4200" w:type="dxa"/>
            <w:vAlign w:val="bottom"/>
            <w:gridSpan w:val="2"/>
          </w:tcPr>
          <w:p>
            <w:pPr>
              <w:spacing w:after="0"/>
              <w:rPr>
                <w:sz w:val="20"/>
                <w:szCs w:val="20"/>
                <w:color w:val="auto"/>
              </w:rPr>
            </w:pPr>
            <w:r>
              <w:rPr>
                <w:rFonts w:ascii="Arial" w:cs="Arial" w:eastAsia="Arial" w:hAnsi="Arial"/>
                <w:sz w:val="18"/>
                <w:szCs w:val="18"/>
                <w:b w:val="1"/>
                <w:bCs w:val="1"/>
                <w:color w:val="auto"/>
              </w:rPr>
              <w:t>Total International</w:t>
            </w:r>
          </w:p>
        </w:tc>
        <w:tc>
          <w:tcPr>
            <w:tcW w:w="180" w:type="dxa"/>
            <w:vAlign w:val="bottom"/>
            <w:tcBorders>
              <w:top w:val="single" w:sz="8" w:color="auto"/>
              <w:bottom w:val="single" w:sz="8" w:color="auto"/>
            </w:tcBorders>
          </w:tcPr>
          <w:p>
            <w:pPr>
              <w:spacing w:after="0"/>
              <w:rPr>
                <w:sz w:val="20"/>
                <w:szCs w:val="20"/>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83.8</w:t>
            </w:r>
          </w:p>
        </w:tc>
        <w:tc>
          <w:tcPr>
            <w:tcW w:w="78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73.2</w:t>
            </w:r>
          </w:p>
        </w:tc>
        <w:tc>
          <w:tcPr>
            <w:tcW w:w="760" w:type="dxa"/>
            <w:vAlign w:val="bottom"/>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10.6</w:t>
            </w:r>
          </w:p>
        </w:tc>
        <w:tc>
          <w:tcPr>
            <w:tcW w:w="780" w:type="dxa"/>
            <w:vAlign w:val="bottom"/>
          </w:tcPr>
          <w:p>
            <w:pPr>
              <w:spacing w:after="0"/>
              <w:rPr>
                <w:sz w:val="20"/>
                <w:szCs w:val="20"/>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Revenue</w:t>
            </w:r>
          </w:p>
        </w:tc>
        <w:tc>
          <w:tcPr>
            <w:tcW w:w="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140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b w:val="1"/>
                <w:bCs w:val="1"/>
                <w:color w:val="auto"/>
              </w:rPr>
              <w:t>124.2</w:t>
            </w:r>
          </w:p>
        </w:tc>
        <w:tc>
          <w:tcPr>
            <w:tcW w:w="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9"/>
              </w:rPr>
              <w:t>$</w:t>
            </w:r>
          </w:p>
        </w:tc>
        <w:tc>
          <w:tcPr>
            <w:tcW w:w="126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b w:val="1"/>
                <w:bCs w:val="1"/>
                <w:color w:val="auto"/>
              </w:rPr>
              <w:t>122.6</w:t>
            </w:r>
          </w:p>
        </w:tc>
        <w:tc>
          <w:tcPr>
            <w:tcW w:w="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1.6</w:t>
            </w:r>
          </w:p>
        </w:tc>
        <w:tc>
          <w:tcPr>
            <w:tcW w:w="7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4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0" w:type="dxa"/>
            <w:vAlign w:val="bottom"/>
            <w:gridSpan w:val="2"/>
          </w:tcPr>
          <w:p>
            <w:pPr>
              <w:jc w:val="right"/>
              <w:ind w:right="440"/>
              <w:spacing w:after="0"/>
              <w:rPr>
                <w:sz w:val="20"/>
                <w:szCs w:val="20"/>
                <w:color w:val="auto"/>
              </w:rPr>
            </w:pPr>
            <w:r>
              <w:rPr>
                <w:rFonts w:ascii="Arial" w:cs="Arial" w:eastAsia="Arial" w:hAnsi="Arial"/>
                <w:sz w:val="18"/>
                <w:szCs w:val="18"/>
                <w:color w:val="auto"/>
              </w:rPr>
              <w:t>19</w:t>
            </w: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459" w:right="25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The increase of our total revenue in the second quarter of fiscal 2011 compared with the same quarter in fiscal 2010 resulted from significant increases in Africa and the Europe, Middle East and Russia (“EMER”) regions, where increased orders for the current product platform were delivered in the second quarter of fiscal 2011. The substantial year to year increase in Africa came from a wireless customer who resumed purchasing after substantially reducing its orders in the prior year. In addition, certain other customers in the region increased spending during the fourth quarter of the calendar year. We expect continued demand for our products and services in Africa during our third fiscal quarter. Revenue in the second quarter of fiscal 2010 included a substantial amount of purchases from a customer in the Middle East that was not repeated in fiscal 2011. However, wireless customers in Russia that had reduced their capital spending sharply in calendar 2009 and early 2010 in response to the tightening in credit markets, increased spending allowing us to benefit from their incremental business in the second quarter of fiscal 2011. Competitive pricing pressures in Russia continue to impact the business so future order levels may vary significantly. Finally, in the Asia Pacific region, the product mix varied from the second quarter of fiscal 2011 as compared with the same quarter in fiscal 2010. In the second quarter of fiscal 2011, revenue from shipments of WiMAX product substantially increased in the region, mostly in India, while microwave business in other countries was flat or down compared to the previous year.</w:t>
      </w:r>
    </w:p>
    <w:p>
      <w:pPr>
        <w:spacing w:after="0" w:line="127"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We experienced a significant decrease in revenue in North America that resulted primarily from product transition to our current product platform from our legacy products, some continuing effects of the economic downturn, as well as increased competition. In the second quarter of fiscal 2010, most of our North America business was in our legacy products. While we continued last time buy activity in those product lines in the second quarter of fiscal 2011, we are also in the process of transitioning our North America customers to our current product. Many of our customers are now completing their first deployments of the current product. We expect orders for this line of products to increase in future periods as market acceptance gains traction. Revenue in North America benefited in the second quarter of fiscal 2011 because shipments delayed in the first quarter of fiscal 2011 were delivered and recognized as revenue in the second quarter of fiscal 2011. The shipment delays in the first quarter of fiscal 2011 were due to component shortages and supply chain issues from the transition to contract manufacturers.</w:t>
      </w:r>
    </w:p>
    <w:p>
      <w:pPr>
        <w:spacing w:after="0" w:line="14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During the second quarter of fiscal 2011 and fiscal 2010, none of our customers accounted for 10% or more of revenue.</w:t>
      </w:r>
    </w:p>
    <w:p>
      <w:pPr>
        <w:spacing w:after="0" w:line="171"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Our net loss in the second quarter of fiscal 2011 and fiscal 2010 included amortization of purchased intangibles, rebranding expenses and share-based compensation expense. In addition, we incurred substantial charges associated with ongoing restructuring plans. During the second quarter of fiscal 2011, we incurred $3.4 million of restructuring charges compared with $1.5 million in the second quarter of fiscal 2010. We also recognized an additional $0.5 million loss during the second quarter of fiscal 2011 from the sale of NetBoss assets in the first quarter of fiscal 2011. These charges and expenses are set forth on a comparative basis in the table below:</w:t>
      </w:r>
    </w:p>
    <w:p>
      <w:pPr>
        <w:spacing w:after="0" w:line="179"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6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2"/>
          </w:tcPr>
          <w:p>
            <w:pPr>
              <w:jc w:val="center"/>
              <w:ind w:left="416"/>
              <w:spacing w:after="0"/>
              <w:rPr>
                <w:sz w:val="20"/>
                <w:szCs w:val="20"/>
                <w:color w:val="auto"/>
              </w:rPr>
            </w:pPr>
            <w:r>
              <w:rPr>
                <w:rFonts w:ascii="Arial" w:cs="Arial" w:eastAsia="Arial" w:hAnsi="Arial"/>
                <w:sz w:val="14"/>
                <w:szCs w:val="14"/>
                <w:b w:val="1"/>
                <w:bCs w:val="1"/>
                <w:color w:val="auto"/>
                <w:w w:val="90"/>
              </w:rPr>
              <w:t>Quarter Ended</w:t>
            </w:r>
          </w:p>
        </w:tc>
        <w:tc>
          <w:tcPr>
            <w:tcW w:w="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29"/>
        </w:trPr>
        <w:tc>
          <w:tcPr>
            <w:tcW w:w="6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560" w:type="dxa"/>
            <w:vAlign w:val="bottom"/>
            <w:gridSpan w:val="3"/>
          </w:tcPr>
          <w:p>
            <w:pPr>
              <w:jc w:val="right"/>
              <w:ind w:right="732"/>
              <w:spacing w:after="0" w:line="129" w:lineRule="exact"/>
              <w:rPr>
                <w:sz w:val="20"/>
                <w:szCs w:val="20"/>
                <w:color w:val="auto"/>
              </w:rPr>
            </w:pPr>
            <w:r>
              <w:rPr>
                <w:rFonts w:ascii="Arial" w:cs="Arial" w:eastAsia="Arial" w:hAnsi="Arial"/>
                <w:sz w:val="14"/>
                <w:szCs w:val="14"/>
                <w:b w:val="1"/>
                <w:bCs w:val="1"/>
                <w:color w:val="auto"/>
                <w:w w:val="81"/>
              </w:rPr>
              <w:t>December 31,</w:t>
            </w:r>
          </w:p>
        </w:tc>
        <w:tc>
          <w:tcPr>
            <w:tcW w:w="660" w:type="dxa"/>
            <w:vAlign w:val="bottom"/>
            <w:gridSpan w:val="3"/>
          </w:tcPr>
          <w:p>
            <w:pPr>
              <w:jc w:val="right"/>
              <w:spacing w:after="0" w:line="129" w:lineRule="exact"/>
              <w:rPr>
                <w:sz w:val="20"/>
                <w:szCs w:val="20"/>
                <w:color w:val="auto"/>
              </w:rPr>
            </w:pPr>
            <w:r>
              <w:rPr>
                <w:rFonts w:ascii="Arial" w:cs="Arial" w:eastAsia="Arial" w:hAnsi="Arial"/>
                <w:sz w:val="14"/>
                <w:szCs w:val="14"/>
                <w:b w:val="1"/>
                <w:bCs w:val="1"/>
                <w:color w:val="auto"/>
                <w:w w:val="92"/>
              </w:rPr>
              <w:t>January 1,</w:t>
            </w:r>
          </w:p>
        </w:tc>
        <w:tc>
          <w:tcPr>
            <w:tcW w:w="100" w:type="dxa"/>
            <w:vAlign w:val="bottom"/>
          </w:tcPr>
          <w:p>
            <w:pPr>
              <w:spacing w:after="0"/>
              <w:rPr>
                <w:sz w:val="11"/>
                <w:szCs w:val="11"/>
                <w:color w:val="auto"/>
              </w:rPr>
            </w:pPr>
          </w:p>
        </w:tc>
      </w:tr>
      <w:tr>
        <w:trPr>
          <w:trHeight w:val="161"/>
        </w:trPr>
        <w:tc>
          <w:tcPr>
            <w:tcW w:w="6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96"/>
              <w:spacing w:after="0"/>
              <w:rPr>
                <w:sz w:val="20"/>
                <w:szCs w:val="20"/>
                <w:color w:val="auto"/>
              </w:rPr>
            </w:pPr>
            <w:r>
              <w:rPr>
                <w:rFonts w:ascii="Arial" w:cs="Arial" w:eastAsia="Arial" w:hAnsi="Arial"/>
                <w:sz w:val="14"/>
                <w:szCs w:val="14"/>
                <w:b w:val="1"/>
                <w:bCs w:val="1"/>
                <w:color w:val="auto"/>
              </w:rPr>
              <w:t>2010</w:t>
            </w:r>
          </w:p>
        </w:tc>
        <w:tc>
          <w:tcPr>
            <w:tcW w:w="7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94"/>
              <w:spacing w:after="0"/>
              <w:rPr>
                <w:sz w:val="20"/>
                <w:szCs w:val="20"/>
                <w:color w:val="auto"/>
              </w:rPr>
            </w:pPr>
            <w:r>
              <w:rPr>
                <w:rFonts w:ascii="Arial" w:cs="Arial" w:eastAsia="Arial" w:hAnsi="Arial"/>
                <w:sz w:val="14"/>
                <w:szCs w:val="14"/>
                <w:b w:val="1"/>
                <w:bCs w:val="1"/>
                <w:color w:val="auto"/>
                <w:w w:val="96"/>
              </w:rPr>
              <w:t>2010</w:t>
            </w:r>
          </w:p>
        </w:tc>
        <w:tc>
          <w:tcPr>
            <w:tcW w:w="100" w:type="dxa"/>
            <w:vAlign w:val="bottom"/>
          </w:tcPr>
          <w:p>
            <w:pPr>
              <w:spacing w:after="0"/>
              <w:rPr>
                <w:sz w:val="14"/>
                <w:szCs w:val="14"/>
                <w:color w:val="auto"/>
              </w:rPr>
            </w:pPr>
          </w:p>
        </w:tc>
      </w:tr>
      <w:tr>
        <w:trPr>
          <w:trHeight w:val="142"/>
        </w:trPr>
        <w:tc>
          <w:tcPr>
            <w:tcW w:w="6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80" w:type="dxa"/>
            <w:vAlign w:val="bottom"/>
          </w:tcPr>
          <w:p>
            <w:pPr>
              <w:jc w:val="center"/>
              <w:ind w:right="52"/>
              <w:spacing w:after="0" w:line="142" w:lineRule="exact"/>
              <w:rPr>
                <w:sz w:val="20"/>
                <w:szCs w:val="20"/>
                <w:color w:val="auto"/>
              </w:rPr>
            </w:pPr>
            <w:r>
              <w:rPr>
                <w:rFonts w:ascii="Arial" w:cs="Arial" w:eastAsia="Arial" w:hAnsi="Arial"/>
                <w:sz w:val="14"/>
                <w:szCs w:val="14"/>
                <w:b w:val="1"/>
                <w:bCs w:val="1"/>
                <w:color w:val="auto"/>
                <w:w w:val="83"/>
              </w:rPr>
              <w:t>(In millions)</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Restructuring charges</w:t>
            </w:r>
          </w:p>
        </w:tc>
        <w:tc>
          <w:tcPr>
            <w:tcW w:w="160" w:type="dxa"/>
            <w:vAlign w:val="bottom"/>
            <w:gridSpan w:val="2"/>
            <w:shd w:val="clear" w:color="auto" w:fill="CCEEFF"/>
          </w:tcPr>
          <w:p>
            <w:pPr>
              <w:jc w:val="right"/>
              <w:ind w:right="22"/>
              <w:spacing w:after="0"/>
              <w:rPr>
                <w:sz w:val="20"/>
                <w:szCs w:val="20"/>
                <w:color w:val="auto"/>
              </w:rPr>
            </w:pPr>
            <w:r>
              <w:rPr>
                <w:rFonts w:ascii="Arial" w:cs="Arial" w:eastAsia="Arial" w:hAnsi="Arial"/>
                <w:sz w:val="15"/>
                <w:szCs w:val="15"/>
                <w:b w:val="1"/>
                <w:bCs w:val="1"/>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3.4</w:t>
            </w:r>
          </w:p>
        </w:tc>
        <w:tc>
          <w:tcPr>
            <w:tcW w:w="78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1.5</w:t>
            </w:r>
          </w:p>
        </w:tc>
        <w:tc>
          <w:tcPr>
            <w:tcW w:w="100" w:type="dxa"/>
            <w:vAlign w:val="bottom"/>
            <w:shd w:val="clear" w:color="auto" w:fill="CCEEFF"/>
          </w:tcPr>
          <w:p>
            <w:pPr>
              <w:spacing w:after="0"/>
              <w:rPr>
                <w:sz w:val="18"/>
                <w:szCs w:val="18"/>
                <w:color w:val="auto"/>
              </w:rPr>
            </w:pPr>
          </w:p>
        </w:tc>
      </w:tr>
      <w:tr>
        <w:trPr>
          <w:trHeight w:val="216"/>
        </w:trPr>
        <w:tc>
          <w:tcPr>
            <w:tcW w:w="6340" w:type="dxa"/>
            <w:vAlign w:val="bottom"/>
          </w:tcPr>
          <w:p>
            <w:pPr>
              <w:spacing w:after="0"/>
              <w:rPr>
                <w:sz w:val="20"/>
                <w:szCs w:val="20"/>
                <w:color w:val="auto"/>
              </w:rPr>
            </w:pPr>
            <w:r>
              <w:rPr>
                <w:rFonts w:ascii="Arial" w:cs="Arial" w:eastAsia="Arial" w:hAnsi="Arial"/>
                <w:sz w:val="18"/>
                <w:szCs w:val="18"/>
                <w:color w:val="auto"/>
              </w:rPr>
              <w:t>Additional loss recognized from sale of NetBoss assets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b w:val="1"/>
                <w:bCs w:val="1"/>
                <w:color w:val="auto"/>
              </w:rPr>
              <w:t>0.5</w:t>
            </w:r>
          </w:p>
        </w:tc>
        <w:tc>
          <w:tcPr>
            <w:tcW w:w="7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gridSpan w:val="2"/>
          </w:tcPr>
          <w:p>
            <w:pPr>
              <w:ind w:left="240"/>
              <w:spacing w:after="0"/>
              <w:rPr>
                <w:sz w:val="20"/>
                <w:szCs w:val="20"/>
                <w:color w:val="auto"/>
              </w:rPr>
            </w:pPr>
            <w:r>
              <w:rPr>
                <w:rFonts w:ascii="Arial" w:cs="Arial" w:eastAsia="Arial" w:hAnsi="Arial"/>
                <w:sz w:val="18"/>
                <w:szCs w:val="18"/>
                <w:b w:val="1"/>
                <w:bCs w:val="1"/>
                <w:color w:val="auto"/>
              </w:rPr>
              <w:t>—</w:t>
            </w:r>
          </w:p>
        </w:tc>
      </w:tr>
      <w:tr>
        <w:trPr>
          <w:trHeight w:val="216"/>
        </w:trPr>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trade names and customer relationships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0.7</w:t>
            </w:r>
          </w:p>
        </w:tc>
        <w:tc>
          <w:tcPr>
            <w:tcW w:w="7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1.5</w:t>
            </w:r>
          </w:p>
        </w:tc>
        <w:tc>
          <w:tcPr>
            <w:tcW w:w="100" w:type="dxa"/>
            <w:vAlign w:val="bottom"/>
            <w:shd w:val="clear" w:color="auto" w:fill="CCEEFF"/>
          </w:tcPr>
          <w:p>
            <w:pPr>
              <w:spacing w:after="0"/>
              <w:rPr>
                <w:sz w:val="18"/>
                <w:szCs w:val="18"/>
                <w:color w:val="auto"/>
              </w:rPr>
            </w:pPr>
          </w:p>
        </w:tc>
      </w:tr>
      <w:tr>
        <w:trPr>
          <w:trHeight w:val="216"/>
        </w:trPr>
        <w:tc>
          <w:tcPr>
            <w:tcW w:w="6340" w:type="dxa"/>
            <w:vAlign w:val="bottom"/>
          </w:tcPr>
          <w:p>
            <w:pPr>
              <w:spacing w:after="0"/>
              <w:rPr>
                <w:sz w:val="20"/>
                <w:szCs w:val="20"/>
                <w:color w:val="auto"/>
              </w:rPr>
            </w:pPr>
            <w:r>
              <w:rPr>
                <w:rFonts w:ascii="Arial" w:cs="Arial" w:eastAsia="Arial" w:hAnsi="Arial"/>
                <w:sz w:val="18"/>
                <w:szCs w:val="18"/>
                <w:color w:val="auto"/>
              </w:rPr>
              <w:t>Rebranding and transitional costs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b w:val="1"/>
                <w:bCs w:val="1"/>
                <w:color w:val="auto"/>
              </w:rPr>
              <w:t>0.7</w:t>
            </w:r>
          </w:p>
        </w:tc>
        <w:tc>
          <w:tcPr>
            <w:tcW w:w="7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rPr>
              <w:t>1.5</w:t>
            </w:r>
          </w:p>
        </w:tc>
        <w:tc>
          <w:tcPr>
            <w:tcW w:w="100" w:type="dxa"/>
            <w:vAlign w:val="bottom"/>
          </w:tcPr>
          <w:p>
            <w:pPr>
              <w:spacing w:after="0"/>
              <w:rPr>
                <w:sz w:val="18"/>
                <w:szCs w:val="18"/>
                <w:color w:val="auto"/>
              </w:rPr>
            </w:pPr>
          </w:p>
        </w:tc>
      </w:tr>
      <w:tr>
        <w:trPr>
          <w:trHeight w:val="216"/>
        </w:trPr>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developed technology</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0.1</w:t>
            </w:r>
          </w:p>
        </w:tc>
        <w:tc>
          <w:tcPr>
            <w:tcW w:w="7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2.1</w:t>
            </w:r>
          </w:p>
        </w:tc>
        <w:tc>
          <w:tcPr>
            <w:tcW w:w="100" w:type="dxa"/>
            <w:vAlign w:val="bottom"/>
            <w:shd w:val="clear" w:color="auto" w:fill="CCEEFF"/>
          </w:tcPr>
          <w:p>
            <w:pPr>
              <w:spacing w:after="0"/>
              <w:rPr>
                <w:sz w:val="18"/>
                <w:szCs w:val="18"/>
                <w:color w:val="auto"/>
              </w:rPr>
            </w:pPr>
          </w:p>
        </w:tc>
      </w:tr>
      <w:tr>
        <w:trPr>
          <w:trHeight w:val="216"/>
        </w:trPr>
        <w:tc>
          <w:tcPr>
            <w:tcW w:w="6340" w:type="dxa"/>
            <w:vAlign w:val="bottom"/>
          </w:tcPr>
          <w:p>
            <w:pPr>
              <w:spacing w:after="0"/>
              <w:rPr>
                <w:sz w:val="20"/>
                <w:szCs w:val="20"/>
                <w:color w:val="auto"/>
              </w:rPr>
            </w:pPr>
            <w:r>
              <w:rPr>
                <w:rFonts w:ascii="Arial" w:cs="Arial" w:eastAsia="Arial" w:hAnsi="Arial"/>
                <w:sz w:val="18"/>
                <w:szCs w:val="18"/>
                <w:color w:val="auto"/>
              </w:rPr>
              <w:t>Share-based compensation expense</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b w:val="1"/>
                <w:bCs w:val="1"/>
                <w:color w:val="auto"/>
              </w:rPr>
              <w:t>1.3</w:t>
            </w:r>
          </w:p>
        </w:tc>
        <w:tc>
          <w:tcPr>
            <w:tcW w:w="7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rPr>
              <w:t>0.5</w:t>
            </w:r>
          </w:p>
        </w:tc>
        <w:tc>
          <w:tcPr>
            <w:tcW w:w="100" w:type="dxa"/>
            <w:vAlign w:val="bottom"/>
          </w:tcPr>
          <w:p>
            <w:pPr>
              <w:spacing w:after="0"/>
              <w:rPr>
                <w:sz w:val="18"/>
                <w:szCs w:val="18"/>
                <w:color w:val="auto"/>
              </w:rPr>
            </w:pPr>
          </w:p>
        </w:tc>
      </w:tr>
      <w:tr>
        <w:trPr>
          <w:trHeight w:val="216"/>
        </w:trPr>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0.5</w:t>
            </w:r>
          </w:p>
        </w:tc>
        <w:tc>
          <w:tcPr>
            <w:tcW w:w="7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0.2</w:t>
            </w:r>
          </w:p>
        </w:tc>
        <w:tc>
          <w:tcPr>
            <w:tcW w:w="100" w:type="dxa"/>
            <w:vAlign w:val="bottom"/>
            <w:shd w:val="clear" w:color="auto" w:fill="CCEEFF"/>
          </w:tcPr>
          <w:p>
            <w:pPr>
              <w:spacing w:after="0"/>
              <w:rPr>
                <w:sz w:val="18"/>
                <w:szCs w:val="18"/>
                <w:color w:val="auto"/>
              </w:rPr>
            </w:pPr>
          </w:p>
        </w:tc>
      </w:tr>
      <w:tr>
        <w:trPr>
          <w:trHeight w:val="223"/>
        </w:trPr>
        <w:tc>
          <w:tcPr>
            <w:tcW w:w="63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jc w:val="right"/>
              <w:ind w:right="22"/>
              <w:spacing w:after="0"/>
              <w:rPr>
                <w:sz w:val="20"/>
                <w:szCs w:val="20"/>
                <w:color w:val="auto"/>
              </w:rPr>
            </w:pPr>
            <w:r>
              <w:rPr>
                <w:rFonts w:ascii="Arial" w:cs="Arial" w:eastAsia="Arial" w:hAnsi="Arial"/>
                <w:sz w:val="10"/>
                <w:szCs w:val="10"/>
                <w:b w:val="1"/>
                <w:bCs w:val="1"/>
                <w:color w:val="auto"/>
                <w:w w:val="71"/>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7.2</w:t>
            </w:r>
          </w:p>
        </w:tc>
        <w:tc>
          <w:tcPr>
            <w:tcW w:w="7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7.3</w:t>
            </w:r>
          </w:p>
        </w:tc>
        <w:tc>
          <w:tcPr>
            <w:tcW w:w="100" w:type="dxa"/>
            <w:vAlign w:val="bottom"/>
          </w:tcPr>
          <w:p>
            <w:pPr>
              <w:spacing w:after="0"/>
              <w:rPr>
                <w:sz w:val="19"/>
                <w:szCs w:val="19"/>
                <w:color w:val="auto"/>
              </w:rPr>
            </w:pPr>
          </w:p>
        </w:tc>
      </w:tr>
      <w:tr>
        <w:trPr>
          <w:trHeight w:val="20"/>
        </w:trPr>
        <w:tc>
          <w:tcPr>
            <w:tcW w:w="6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Gross Margin</w:t>
      </w:r>
    </w:p>
    <w:p>
      <w:pPr>
        <w:spacing w:after="0" w:line="207"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35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gridSpan w:val="4"/>
          </w:tcPr>
          <w:p>
            <w:pPr>
              <w:ind w:left="580"/>
              <w:spacing w:after="0"/>
              <w:rPr>
                <w:sz w:val="20"/>
                <w:szCs w:val="20"/>
                <w:color w:val="auto"/>
              </w:rPr>
            </w:pPr>
            <w:r>
              <w:rPr>
                <w:rFonts w:ascii="Arial" w:cs="Arial" w:eastAsia="Arial" w:hAnsi="Arial"/>
                <w:sz w:val="14"/>
                <w:szCs w:val="14"/>
                <w:b w:val="1"/>
                <w:bCs w:val="1"/>
                <w:color w:val="auto"/>
              </w:rPr>
              <w:t>Quarter Ended</w:t>
            </w:r>
          </w:p>
        </w:tc>
        <w:tc>
          <w:tcPr>
            <w:tcW w:w="480" w:type="dxa"/>
            <w:vAlign w:val="bottom"/>
            <w:tcBorders>
              <w:bottom w:val="single" w:sz="8" w:color="auto"/>
            </w:tcBorders>
          </w:tcPr>
          <w:p>
            <w:pPr>
              <w:spacing w:after="0"/>
              <w:rPr>
                <w:sz w:val="14"/>
                <w:szCs w:val="14"/>
                <w:color w:val="auto"/>
              </w:rPr>
            </w:pPr>
          </w:p>
        </w:tc>
        <w:tc>
          <w:tcPr>
            <w:tcW w:w="960" w:type="dxa"/>
            <w:vAlign w:val="bottom"/>
          </w:tcPr>
          <w:p>
            <w:pPr>
              <w:spacing w:after="0"/>
              <w:rPr>
                <w:sz w:val="14"/>
                <w:szCs w:val="14"/>
                <w:color w:val="auto"/>
              </w:rPr>
            </w:pPr>
          </w:p>
        </w:tc>
        <w:tc>
          <w:tcPr>
            <w:tcW w:w="142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82"/>
              </w:rPr>
              <w:t>Percentage</w:t>
            </w:r>
          </w:p>
        </w:tc>
        <w:tc>
          <w:tcPr>
            <w:tcW w:w="0" w:type="dxa"/>
            <w:vAlign w:val="bottom"/>
          </w:tcPr>
          <w:p>
            <w:pPr>
              <w:spacing w:after="0"/>
              <w:rPr>
                <w:sz w:val="1"/>
                <w:szCs w:val="1"/>
                <w:color w:val="auto"/>
              </w:rPr>
            </w:pPr>
          </w:p>
        </w:tc>
      </w:tr>
      <w:tr>
        <w:trPr>
          <w:trHeight w:val="129"/>
        </w:trPr>
        <w:tc>
          <w:tcPr>
            <w:tcW w:w="354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1140" w:type="dxa"/>
            <w:vAlign w:val="bottom"/>
            <w:gridSpan w:val="3"/>
          </w:tcPr>
          <w:p>
            <w:pPr>
              <w:ind w:left="20"/>
              <w:spacing w:after="0" w:line="129" w:lineRule="exact"/>
              <w:rPr>
                <w:sz w:val="20"/>
                <w:szCs w:val="20"/>
                <w:color w:val="auto"/>
              </w:rPr>
            </w:pPr>
            <w:r>
              <w:rPr>
                <w:rFonts w:ascii="Arial" w:cs="Arial" w:eastAsia="Arial" w:hAnsi="Arial"/>
                <w:sz w:val="14"/>
                <w:szCs w:val="14"/>
                <w:b w:val="1"/>
                <w:bCs w:val="1"/>
                <w:color w:val="auto"/>
              </w:rPr>
              <w:t>December 31,</w:t>
            </w:r>
          </w:p>
        </w:tc>
        <w:tc>
          <w:tcPr>
            <w:tcW w:w="620" w:type="dxa"/>
            <w:vAlign w:val="bottom"/>
          </w:tcPr>
          <w:p>
            <w:pPr>
              <w:spacing w:after="0"/>
              <w:rPr>
                <w:sz w:val="11"/>
                <w:szCs w:val="11"/>
                <w:color w:val="auto"/>
              </w:rPr>
            </w:pPr>
          </w:p>
        </w:tc>
        <w:tc>
          <w:tcPr>
            <w:tcW w:w="62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w w:val="86"/>
              </w:rPr>
              <w:t>January 1,</w:t>
            </w:r>
          </w:p>
        </w:tc>
        <w:tc>
          <w:tcPr>
            <w:tcW w:w="960" w:type="dxa"/>
            <w:vAlign w:val="bottom"/>
          </w:tcPr>
          <w:p>
            <w:pPr>
              <w:spacing w:after="0"/>
              <w:rPr>
                <w:sz w:val="11"/>
                <w:szCs w:val="11"/>
                <w:color w:val="auto"/>
              </w:rPr>
            </w:pPr>
          </w:p>
        </w:tc>
        <w:tc>
          <w:tcPr>
            <w:tcW w:w="142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35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79"/>
              <w:spacing w:after="0"/>
              <w:rPr>
                <w:sz w:val="20"/>
                <w:szCs w:val="20"/>
                <w:color w:val="auto"/>
              </w:rPr>
            </w:pPr>
            <w:r>
              <w:rPr>
                <w:rFonts w:ascii="Arial" w:cs="Arial" w:eastAsia="Arial" w:hAnsi="Arial"/>
                <w:sz w:val="14"/>
                <w:szCs w:val="14"/>
                <w:b w:val="1"/>
                <w:bCs w:val="1"/>
                <w:color w:val="auto"/>
              </w:rPr>
              <w:t>2010</w:t>
            </w:r>
          </w:p>
        </w:tc>
        <w:tc>
          <w:tcPr>
            <w:tcW w:w="3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96"/>
              <w:spacing w:after="0"/>
              <w:rPr>
                <w:sz w:val="20"/>
                <w:szCs w:val="20"/>
                <w:color w:val="auto"/>
              </w:rPr>
            </w:pPr>
            <w:r>
              <w:rPr>
                <w:rFonts w:ascii="Arial" w:cs="Arial" w:eastAsia="Arial" w:hAnsi="Arial"/>
                <w:sz w:val="14"/>
                <w:szCs w:val="14"/>
                <w:b w:val="1"/>
                <w:bCs w:val="1"/>
                <w:color w:val="auto"/>
                <w:w w:val="89"/>
              </w:rPr>
              <w:t>2010</w:t>
            </w:r>
          </w:p>
        </w:tc>
        <w:tc>
          <w:tcPr>
            <w:tcW w:w="960" w:type="dxa"/>
            <w:vAlign w:val="bottom"/>
          </w:tcPr>
          <w:p>
            <w:pPr>
              <w:spacing w:after="0"/>
              <w:rPr>
                <w:sz w:val="14"/>
                <w:szCs w:val="14"/>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6"/>
              </w:rPr>
              <w:t>Increase/(Decrease)</w:t>
            </w: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54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40" w:type="dxa"/>
            <w:vAlign w:val="bottom"/>
            <w:gridSpan w:val="3"/>
          </w:tcPr>
          <w:p>
            <w:pPr>
              <w:jc w:val="right"/>
              <w:spacing w:after="0" w:line="142" w:lineRule="exact"/>
              <w:rPr>
                <w:sz w:val="20"/>
                <w:szCs w:val="20"/>
                <w:color w:val="auto"/>
              </w:rPr>
            </w:pPr>
            <w:r>
              <w:rPr>
                <w:rFonts w:ascii="Arial" w:cs="Arial" w:eastAsia="Arial" w:hAnsi="Arial"/>
                <w:sz w:val="14"/>
                <w:szCs w:val="14"/>
                <w:b w:val="1"/>
                <w:bCs w:val="1"/>
                <w:color w:val="auto"/>
                <w:w w:val="96"/>
              </w:rPr>
              <w:t>(In millions, except</w:t>
            </w:r>
          </w:p>
        </w:tc>
        <w:tc>
          <w:tcPr>
            <w:tcW w:w="960" w:type="dxa"/>
            <w:vAlign w:val="bottom"/>
          </w:tcPr>
          <w:p>
            <w:pPr>
              <w:jc w:val="right"/>
              <w:ind w:right="92"/>
              <w:spacing w:after="0" w:line="142" w:lineRule="exact"/>
              <w:rPr>
                <w:sz w:val="20"/>
                <w:szCs w:val="20"/>
                <w:color w:val="auto"/>
              </w:rPr>
            </w:pPr>
            <w:r>
              <w:rPr>
                <w:rFonts w:ascii="Arial" w:cs="Arial" w:eastAsia="Arial" w:hAnsi="Arial"/>
                <w:sz w:val="14"/>
                <w:szCs w:val="14"/>
                <w:b w:val="1"/>
                <w:bCs w:val="1"/>
                <w:color w:val="auto"/>
                <w:w w:val="89"/>
              </w:rPr>
              <w:t>percentages)</w:t>
            </w:r>
          </w:p>
        </w:tc>
        <w:tc>
          <w:tcPr>
            <w:tcW w:w="1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1460" w:type="dxa"/>
            <w:vAlign w:val="bottom"/>
            <w:gridSpan w:val="2"/>
            <w:shd w:val="clear" w:color="auto" w:fill="CCEEFF"/>
          </w:tcPr>
          <w:p>
            <w:pPr>
              <w:ind w:left="1280"/>
              <w:spacing w:after="0"/>
              <w:rPr>
                <w:sz w:val="20"/>
                <w:szCs w:val="20"/>
                <w:color w:val="auto"/>
              </w:rPr>
            </w:pPr>
            <w:r>
              <w:rPr>
                <w:rFonts w:ascii="Arial" w:cs="Arial" w:eastAsia="Arial" w:hAnsi="Arial"/>
                <w:sz w:val="18"/>
                <w:szCs w:val="18"/>
                <w:b w:val="1"/>
                <w:bCs w:val="1"/>
                <w:color w:val="auto"/>
              </w:rPr>
              <w:t>$</w:t>
            </w:r>
          </w:p>
        </w:tc>
        <w:tc>
          <w:tcPr>
            <w:tcW w:w="9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b w:val="1"/>
                <w:bCs w:val="1"/>
                <w:color w:val="auto"/>
              </w:rPr>
              <w:t>124.2</w:t>
            </w:r>
          </w:p>
        </w:tc>
        <w:tc>
          <w:tcPr>
            <w:tcW w:w="760" w:type="dxa"/>
            <w:vAlign w:val="bottom"/>
            <w:gridSpan w:val="2"/>
            <w:shd w:val="clear" w:color="auto" w:fill="CCEEFF"/>
          </w:tcPr>
          <w:p>
            <w:pPr>
              <w:ind w:left="620"/>
              <w:spacing w:after="0"/>
              <w:rPr>
                <w:sz w:val="20"/>
                <w:szCs w:val="20"/>
                <w:color w:val="auto"/>
              </w:rPr>
            </w:pPr>
            <w:r>
              <w:rPr>
                <w:rFonts w:ascii="Arial" w:cs="Arial" w:eastAsia="Arial" w:hAnsi="Arial"/>
                <w:sz w:val="18"/>
                <w:szCs w:val="18"/>
                <w:b w:val="1"/>
                <w:bCs w:val="1"/>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122.6</w:t>
            </w:r>
          </w:p>
        </w:tc>
        <w:tc>
          <w:tcPr>
            <w:tcW w:w="9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1.3%</w:t>
            </w:r>
          </w:p>
        </w:tc>
        <w:tc>
          <w:tcPr>
            <w:tcW w:w="0" w:type="dxa"/>
            <w:vAlign w:val="bottom"/>
          </w:tcPr>
          <w:p>
            <w:pPr>
              <w:spacing w:after="0"/>
              <w:rPr>
                <w:sz w:val="1"/>
                <w:szCs w:val="1"/>
                <w:color w:val="auto"/>
              </w:rPr>
            </w:pPr>
          </w:p>
        </w:tc>
      </w:tr>
      <w:tr>
        <w:trPr>
          <w:trHeight w:val="216"/>
        </w:trPr>
        <w:tc>
          <w:tcPr>
            <w:tcW w:w="3540" w:type="dxa"/>
            <w:vAlign w:val="bottom"/>
          </w:tcPr>
          <w:p>
            <w:pPr>
              <w:spacing w:after="0"/>
              <w:rPr>
                <w:sz w:val="20"/>
                <w:szCs w:val="20"/>
                <w:color w:val="auto"/>
              </w:rPr>
            </w:pPr>
            <w:r>
              <w:rPr>
                <w:rFonts w:ascii="Arial" w:cs="Arial" w:eastAsia="Arial" w:hAnsi="Arial"/>
                <w:sz w:val="18"/>
                <w:szCs w:val="18"/>
                <w:color w:val="auto"/>
              </w:rPr>
              <w:t>Cost of product sales and services</w:t>
            </w:r>
          </w:p>
        </w:tc>
        <w:tc>
          <w:tcPr>
            <w:tcW w:w="1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(87.5)</w:t>
            </w: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right"/>
              <w:ind w:right="832"/>
              <w:spacing w:after="0"/>
              <w:rPr>
                <w:sz w:val="20"/>
                <w:szCs w:val="20"/>
                <w:color w:val="auto"/>
              </w:rPr>
            </w:pPr>
            <w:r>
              <w:rPr>
                <w:rFonts w:ascii="Arial" w:cs="Arial" w:eastAsia="Arial" w:hAnsi="Arial"/>
                <w:sz w:val="18"/>
                <w:szCs w:val="18"/>
                <w:b w:val="1"/>
                <w:bCs w:val="1"/>
                <w:color w:val="auto"/>
              </w:rPr>
              <w:t>(80.3)</w:t>
            </w:r>
          </w:p>
        </w:tc>
        <w:tc>
          <w:tcPr>
            <w:tcW w:w="14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9.0%</w:t>
            </w:r>
          </w:p>
        </w:tc>
        <w:tc>
          <w:tcPr>
            <w:tcW w:w="0" w:type="dxa"/>
            <w:vAlign w:val="bottom"/>
          </w:tcPr>
          <w:p>
            <w:pPr>
              <w:spacing w:after="0"/>
              <w:rPr>
                <w:sz w:val="1"/>
                <w:szCs w:val="1"/>
                <w:color w:val="auto"/>
              </w:rPr>
            </w:pPr>
          </w:p>
        </w:tc>
      </w:tr>
      <w:tr>
        <w:trPr>
          <w:trHeight w:val="216"/>
        </w:trPr>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Gross margin</w:t>
            </w:r>
          </w:p>
        </w:tc>
        <w:tc>
          <w:tcPr>
            <w:tcW w:w="1460" w:type="dxa"/>
            <w:vAlign w:val="bottom"/>
            <w:gridSpan w:val="2"/>
            <w:shd w:val="clear" w:color="auto" w:fill="CCEEFF"/>
          </w:tcPr>
          <w:p>
            <w:pPr>
              <w:ind w:left="1280"/>
              <w:spacing w:after="0"/>
              <w:rPr>
                <w:sz w:val="20"/>
                <w:szCs w:val="20"/>
                <w:color w:val="auto"/>
              </w:rPr>
            </w:pPr>
            <w:r>
              <w:rPr>
                <w:rFonts w:ascii="Arial" w:cs="Arial" w:eastAsia="Arial" w:hAnsi="Arial"/>
                <w:sz w:val="18"/>
                <w:szCs w:val="18"/>
                <w:b w:val="1"/>
                <w:bCs w:val="1"/>
                <w:color w:val="auto"/>
              </w:rPr>
              <w:t>$</w:t>
            </w:r>
          </w:p>
        </w:tc>
        <w:tc>
          <w:tcPr>
            <w:tcW w:w="9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b w:val="1"/>
                <w:bCs w:val="1"/>
                <w:color w:val="auto"/>
              </w:rPr>
              <w:t>36.7</w:t>
            </w:r>
          </w:p>
        </w:tc>
        <w:tc>
          <w:tcPr>
            <w:tcW w:w="760" w:type="dxa"/>
            <w:vAlign w:val="bottom"/>
            <w:gridSpan w:val="2"/>
            <w:shd w:val="clear" w:color="auto" w:fill="CCEEFF"/>
          </w:tcPr>
          <w:p>
            <w:pPr>
              <w:ind w:left="620"/>
              <w:spacing w:after="0"/>
              <w:rPr>
                <w:sz w:val="20"/>
                <w:szCs w:val="20"/>
                <w:color w:val="auto"/>
              </w:rPr>
            </w:pPr>
            <w:r>
              <w:rPr>
                <w:rFonts w:ascii="Arial" w:cs="Arial" w:eastAsia="Arial" w:hAnsi="Arial"/>
                <w:sz w:val="18"/>
                <w:szCs w:val="18"/>
                <w:b w:val="1"/>
                <w:bCs w:val="1"/>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42.3</w:t>
            </w:r>
          </w:p>
        </w:tc>
        <w:tc>
          <w:tcPr>
            <w:tcW w:w="9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(13.2)%</w:t>
            </w:r>
          </w:p>
        </w:tc>
        <w:tc>
          <w:tcPr>
            <w:tcW w:w="0" w:type="dxa"/>
            <w:vAlign w:val="bottom"/>
          </w:tcPr>
          <w:p>
            <w:pPr>
              <w:spacing w:after="0"/>
              <w:rPr>
                <w:sz w:val="1"/>
                <w:szCs w:val="1"/>
                <w:color w:val="auto"/>
              </w:rPr>
            </w:pPr>
          </w:p>
        </w:tc>
      </w:tr>
      <w:tr>
        <w:trPr>
          <w:trHeight w:val="228"/>
        </w:trPr>
        <w:tc>
          <w:tcPr>
            <w:tcW w:w="3540" w:type="dxa"/>
            <w:vAlign w:val="bottom"/>
          </w:tcPr>
          <w:p>
            <w:pPr>
              <w:spacing w:after="0"/>
              <w:rPr>
                <w:sz w:val="20"/>
                <w:szCs w:val="20"/>
                <w:color w:val="auto"/>
              </w:rPr>
            </w:pPr>
            <w:r>
              <w:rPr>
                <w:rFonts w:ascii="Arial" w:cs="Arial" w:eastAsia="Arial" w:hAnsi="Arial"/>
                <w:sz w:val="18"/>
                <w:szCs w:val="18"/>
                <w:color w:val="auto"/>
              </w:rPr>
              <w:t>% of revenue</w:t>
            </w:r>
          </w:p>
        </w:tc>
        <w:tc>
          <w:tcPr>
            <w:tcW w:w="1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29.5%</w:t>
            </w: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gridSpan w:val="2"/>
          </w:tcPr>
          <w:p>
            <w:pPr>
              <w:jc w:val="right"/>
              <w:ind w:right="712"/>
              <w:spacing w:after="0"/>
              <w:rPr>
                <w:sz w:val="20"/>
                <w:szCs w:val="20"/>
                <w:color w:val="auto"/>
              </w:rPr>
            </w:pPr>
            <w:r>
              <w:rPr>
                <w:rFonts w:ascii="Arial" w:cs="Arial" w:eastAsia="Arial" w:hAnsi="Arial"/>
                <w:sz w:val="18"/>
                <w:szCs w:val="18"/>
                <w:b w:val="1"/>
                <w:bCs w:val="1"/>
                <w:color w:val="auto"/>
              </w:rPr>
              <w:t>34.5%</w:t>
            </w:r>
          </w:p>
        </w:tc>
        <w:tc>
          <w:tcPr>
            <w:tcW w:w="1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0"/>
        </w:trPr>
        <w:tc>
          <w:tcPr>
            <w:tcW w:w="3540" w:type="dxa"/>
            <w:vAlign w:val="bottom"/>
          </w:tcPr>
          <w:p>
            <w:pPr>
              <w:spacing w:after="0"/>
              <w:rPr>
                <w:sz w:val="24"/>
                <w:szCs w:val="24"/>
                <w:color w:val="auto"/>
              </w:rPr>
            </w:pPr>
          </w:p>
        </w:tc>
        <w:tc>
          <w:tcPr>
            <w:tcW w:w="1460" w:type="dxa"/>
            <w:vAlign w:val="bottom"/>
            <w:gridSpan w:val="2"/>
          </w:tcPr>
          <w:p>
            <w:pPr>
              <w:jc w:val="right"/>
              <w:ind w:right="52"/>
              <w:spacing w:after="0"/>
              <w:rPr>
                <w:sz w:val="20"/>
                <w:szCs w:val="20"/>
                <w:color w:val="auto"/>
              </w:rPr>
            </w:pPr>
            <w:r>
              <w:rPr>
                <w:rFonts w:ascii="Arial" w:cs="Arial" w:eastAsia="Arial" w:hAnsi="Arial"/>
                <w:sz w:val="18"/>
                <w:szCs w:val="18"/>
                <w:color w:val="auto"/>
              </w:rPr>
              <w:t>20</w:t>
            </w:r>
          </w:p>
        </w:tc>
        <w:tc>
          <w:tcPr>
            <w:tcW w:w="6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Compared to the second quarter of fiscal 2010, our gross margin decreased in the second quarter of fiscal 2011. Gross margin in the second quarter of fiscal 2011 was negatively impacted by lower gross margins from sales of our WiMAX products. In addition, we continue to experience pricing pressures in all markets, particularly where we compete for the business of large, carrier customers, especially in EMER and Africa. In these markets we continue to see customer consolidation through mergers or acquisitions, leading to fewer, but larger customers. In those cases, vendors vigorously compete to retain market share, often resulting in significant price erosion. In North America, we find price competition for the large carrier business as intense as we do in other markets. In order to counter pricing pressures, we continue to invest in product improvements to reduce unit costs and negotiate favorable pricing with our suppliers.</w:t>
      </w:r>
    </w:p>
    <w:p>
      <w:pPr>
        <w:spacing w:after="0" w:line="120"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Gross margin in the second quarter of fiscal 2010 was substantially enhanced by favorable pricing with certain customers in the Middle East, which was not repeated in the second quarter of fiscal 2011.</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207"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49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gridSpan w:val="4"/>
          </w:tcPr>
          <w:p>
            <w:pPr>
              <w:ind w:left="560"/>
              <w:spacing w:after="0"/>
              <w:rPr>
                <w:sz w:val="20"/>
                <w:szCs w:val="20"/>
                <w:color w:val="auto"/>
              </w:rPr>
            </w:pPr>
            <w:r>
              <w:rPr>
                <w:rFonts w:ascii="Arial" w:cs="Arial" w:eastAsia="Arial" w:hAnsi="Arial"/>
                <w:sz w:val="14"/>
                <w:szCs w:val="14"/>
                <w:b w:val="1"/>
                <w:bCs w:val="1"/>
                <w:color w:val="auto"/>
              </w:rPr>
              <w:t>Quarter Ended</w:t>
            </w:r>
          </w:p>
        </w:tc>
        <w:tc>
          <w:tcPr>
            <w:tcW w:w="500" w:type="dxa"/>
            <w:vAlign w:val="bottom"/>
            <w:tcBorders>
              <w:bottom w:val="single" w:sz="8" w:color="auto"/>
            </w:tcBorders>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84"/>
              </w:rPr>
              <w:t>Percentage</w:t>
            </w:r>
          </w:p>
        </w:tc>
        <w:tc>
          <w:tcPr>
            <w:tcW w:w="0" w:type="dxa"/>
            <w:vAlign w:val="bottom"/>
          </w:tcPr>
          <w:p>
            <w:pPr>
              <w:spacing w:after="0"/>
              <w:rPr>
                <w:sz w:val="1"/>
                <w:szCs w:val="1"/>
                <w:color w:val="auto"/>
              </w:rPr>
            </w:pPr>
          </w:p>
        </w:tc>
      </w:tr>
      <w:tr>
        <w:trPr>
          <w:trHeight w:val="129"/>
        </w:trPr>
        <w:tc>
          <w:tcPr>
            <w:tcW w:w="4900" w:type="dxa"/>
            <w:vAlign w:val="bottom"/>
          </w:tcPr>
          <w:p>
            <w:pPr>
              <w:spacing w:after="0"/>
              <w:rPr>
                <w:sz w:val="11"/>
                <w:szCs w:val="11"/>
                <w:color w:val="auto"/>
              </w:rPr>
            </w:pPr>
          </w:p>
        </w:tc>
        <w:tc>
          <w:tcPr>
            <w:tcW w:w="1140" w:type="dxa"/>
            <w:vAlign w:val="bottom"/>
            <w:gridSpan w:val="3"/>
          </w:tcPr>
          <w:p>
            <w:pPr>
              <w:ind w:left="20"/>
              <w:spacing w:after="0" w:line="129" w:lineRule="exact"/>
              <w:rPr>
                <w:sz w:val="20"/>
                <w:szCs w:val="20"/>
                <w:color w:val="auto"/>
              </w:rPr>
            </w:pPr>
            <w:r>
              <w:rPr>
                <w:rFonts w:ascii="Arial" w:cs="Arial" w:eastAsia="Arial" w:hAnsi="Arial"/>
                <w:sz w:val="14"/>
                <w:szCs w:val="14"/>
                <w:b w:val="1"/>
                <w:bCs w:val="1"/>
                <w:color w:val="auto"/>
              </w:rPr>
              <w:t>December 31,</w:t>
            </w:r>
          </w:p>
        </w:tc>
        <w:tc>
          <w:tcPr>
            <w:tcW w:w="620" w:type="dxa"/>
            <w:vAlign w:val="bottom"/>
          </w:tcPr>
          <w:p>
            <w:pPr>
              <w:spacing w:after="0"/>
              <w:rPr>
                <w:sz w:val="11"/>
                <w:szCs w:val="11"/>
                <w:color w:val="auto"/>
              </w:rPr>
            </w:pPr>
          </w:p>
        </w:tc>
        <w:tc>
          <w:tcPr>
            <w:tcW w:w="62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w w:val="86"/>
              </w:rPr>
              <w:t>January 1,</w:t>
            </w:r>
          </w:p>
        </w:tc>
        <w:tc>
          <w:tcPr>
            <w:tcW w:w="940" w:type="dxa"/>
            <w:vAlign w:val="bottom"/>
          </w:tcPr>
          <w:p>
            <w:pPr>
              <w:spacing w:after="0"/>
              <w:rPr>
                <w:sz w:val="11"/>
                <w:szCs w:val="11"/>
                <w:color w:val="auto"/>
              </w:rPr>
            </w:pPr>
          </w:p>
        </w:tc>
        <w:tc>
          <w:tcPr>
            <w:tcW w:w="136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49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80"/>
              <w:spacing w:after="0"/>
              <w:rPr>
                <w:sz w:val="20"/>
                <w:szCs w:val="20"/>
                <w:color w:val="auto"/>
              </w:rPr>
            </w:pPr>
            <w:r>
              <w:rPr>
                <w:rFonts w:ascii="Arial" w:cs="Arial" w:eastAsia="Arial" w:hAnsi="Arial"/>
                <w:sz w:val="14"/>
                <w:szCs w:val="14"/>
                <w:b w:val="1"/>
                <w:bCs w:val="1"/>
                <w:color w:val="auto"/>
              </w:rPr>
              <w:t>2010</w:t>
            </w:r>
          </w:p>
        </w:tc>
        <w:tc>
          <w:tcPr>
            <w:tcW w:w="3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97"/>
              <w:spacing w:after="0"/>
              <w:rPr>
                <w:sz w:val="20"/>
                <w:szCs w:val="20"/>
                <w:color w:val="auto"/>
              </w:rPr>
            </w:pPr>
            <w:r>
              <w:rPr>
                <w:rFonts w:ascii="Arial" w:cs="Arial" w:eastAsia="Arial" w:hAnsi="Arial"/>
                <w:sz w:val="14"/>
                <w:szCs w:val="14"/>
                <w:b w:val="1"/>
                <w:bCs w:val="1"/>
                <w:color w:val="auto"/>
                <w:w w:val="96"/>
              </w:rPr>
              <w:t>2010</w:t>
            </w:r>
          </w:p>
        </w:tc>
        <w:tc>
          <w:tcPr>
            <w:tcW w:w="940" w:type="dxa"/>
            <w:vAlign w:val="bottom"/>
          </w:tcPr>
          <w:p>
            <w:pPr>
              <w:spacing w:after="0"/>
              <w:rPr>
                <w:sz w:val="14"/>
                <w:szCs w:val="14"/>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4"/>
              </w:rPr>
              <w:t>Increase/(Decrease)</w:t>
            </w: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9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40" w:type="dxa"/>
            <w:vAlign w:val="bottom"/>
            <w:gridSpan w:val="3"/>
          </w:tcPr>
          <w:p>
            <w:pPr>
              <w:jc w:val="right"/>
              <w:spacing w:after="0" w:line="142" w:lineRule="exact"/>
              <w:rPr>
                <w:sz w:val="20"/>
                <w:szCs w:val="20"/>
                <w:color w:val="auto"/>
              </w:rPr>
            </w:pPr>
            <w:r>
              <w:rPr>
                <w:rFonts w:ascii="Arial" w:cs="Arial" w:eastAsia="Arial" w:hAnsi="Arial"/>
                <w:sz w:val="14"/>
                <w:szCs w:val="14"/>
                <w:b w:val="1"/>
                <w:bCs w:val="1"/>
                <w:color w:val="auto"/>
                <w:w w:val="96"/>
              </w:rPr>
              <w:t>(In millions, except</w:t>
            </w:r>
          </w:p>
        </w:tc>
        <w:tc>
          <w:tcPr>
            <w:tcW w:w="940" w:type="dxa"/>
            <w:vAlign w:val="bottom"/>
          </w:tcPr>
          <w:p>
            <w:pPr>
              <w:jc w:val="right"/>
              <w:ind w:right="92"/>
              <w:spacing w:after="0" w:line="142" w:lineRule="exact"/>
              <w:rPr>
                <w:sz w:val="20"/>
                <w:szCs w:val="20"/>
                <w:color w:val="auto"/>
              </w:rPr>
            </w:pPr>
            <w:r>
              <w:rPr>
                <w:rFonts w:ascii="Arial" w:cs="Arial" w:eastAsia="Arial" w:hAnsi="Arial"/>
                <w:sz w:val="14"/>
                <w:szCs w:val="14"/>
                <w:b w:val="1"/>
                <w:bCs w:val="1"/>
                <w:color w:val="auto"/>
                <w:w w:val="87"/>
              </w:rPr>
              <w:t>percentages)</w:t>
            </w:r>
          </w:p>
        </w:tc>
        <w:tc>
          <w:tcPr>
            <w:tcW w:w="1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124.2</w:t>
            </w:r>
          </w:p>
        </w:tc>
        <w:tc>
          <w:tcPr>
            <w:tcW w:w="3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620"/>
              <w:spacing w:after="0"/>
              <w:rPr>
                <w:sz w:val="20"/>
                <w:szCs w:val="20"/>
                <w:color w:val="auto"/>
              </w:rPr>
            </w:pPr>
            <w:r>
              <w:rPr>
                <w:rFonts w:ascii="Arial" w:cs="Arial" w:eastAsia="Arial" w:hAnsi="Arial"/>
                <w:sz w:val="18"/>
                <w:szCs w:val="18"/>
                <w:b w:val="1"/>
                <w:bCs w:val="1"/>
                <w:color w:val="auto"/>
                <w:w w:val="9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122.6</w:t>
            </w:r>
          </w:p>
        </w:tc>
        <w:tc>
          <w:tcPr>
            <w:tcW w:w="9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1.3%</w:t>
            </w:r>
          </w:p>
        </w:tc>
        <w:tc>
          <w:tcPr>
            <w:tcW w:w="0" w:type="dxa"/>
            <w:vAlign w:val="bottom"/>
          </w:tcPr>
          <w:p>
            <w:pPr>
              <w:spacing w:after="0"/>
              <w:rPr>
                <w:sz w:val="1"/>
                <w:szCs w:val="1"/>
                <w:color w:val="auto"/>
              </w:rPr>
            </w:pPr>
          </w:p>
        </w:tc>
      </w:tr>
      <w:tr>
        <w:trPr>
          <w:trHeight w:val="216"/>
        </w:trPr>
        <w:tc>
          <w:tcPr>
            <w:tcW w:w="4900" w:type="dxa"/>
            <w:vAlign w:val="bottom"/>
          </w:tcPr>
          <w:p>
            <w:pPr>
              <w:spacing w:after="0"/>
              <w:rPr>
                <w:sz w:val="20"/>
                <w:szCs w:val="20"/>
                <w:color w:val="auto"/>
              </w:rPr>
            </w:pPr>
            <w:r>
              <w:rPr>
                <w:rFonts w:ascii="Arial" w:cs="Arial" w:eastAsia="Arial" w:hAnsi="Arial"/>
                <w:sz w:val="18"/>
                <w:szCs w:val="18"/>
                <w:color w:val="auto"/>
              </w:rPr>
              <w:t>Research and development expenses</w:t>
            </w:r>
          </w:p>
        </w:tc>
        <w:tc>
          <w:tcPr>
            <w:tcW w:w="180" w:type="dxa"/>
            <w:vAlign w:val="bottom"/>
          </w:tcPr>
          <w:p>
            <w:pPr>
              <w:spacing w:after="0"/>
              <w:rPr>
                <w:sz w:val="20"/>
                <w:szCs w:val="20"/>
                <w:color w:val="auto"/>
              </w:rPr>
            </w:pPr>
            <w:r>
              <w:rPr>
                <w:rFonts w:ascii="Arial" w:cs="Arial" w:eastAsia="Arial" w:hAnsi="Arial"/>
                <w:sz w:val="18"/>
                <w:szCs w:val="18"/>
                <w:b w:val="1"/>
                <w:bCs w:val="1"/>
                <w:color w:val="auto"/>
              </w:rPr>
              <w:t>$</w:t>
            </w:r>
          </w:p>
        </w:tc>
        <w:tc>
          <w:tcPr>
            <w:tcW w:w="620" w:type="dxa"/>
            <w:vAlign w:val="bottom"/>
          </w:tcPr>
          <w:p>
            <w:pPr>
              <w:jc w:val="right"/>
              <w:spacing w:after="0"/>
              <w:rPr>
                <w:sz w:val="20"/>
                <w:szCs w:val="20"/>
                <w:color w:val="auto"/>
              </w:rPr>
            </w:pPr>
            <w:r>
              <w:rPr>
                <w:rFonts w:ascii="Arial" w:cs="Arial" w:eastAsia="Arial" w:hAnsi="Arial"/>
                <w:sz w:val="18"/>
                <w:szCs w:val="18"/>
                <w:b w:val="1"/>
                <w:bCs w:val="1"/>
                <w:color w:val="auto"/>
              </w:rPr>
              <w:t>12.1</w:t>
            </w:r>
          </w:p>
        </w:tc>
        <w:tc>
          <w:tcPr>
            <w:tcW w:w="340" w:type="dxa"/>
            <w:vAlign w:val="bottom"/>
          </w:tcPr>
          <w:p>
            <w:pPr>
              <w:spacing w:after="0"/>
              <w:rPr>
                <w:sz w:val="18"/>
                <w:szCs w:val="18"/>
                <w:color w:val="auto"/>
              </w:rPr>
            </w:pPr>
          </w:p>
        </w:tc>
        <w:tc>
          <w:tcPr>
            <w:tcW w:w="740" w:type="dxa"/>
            <w:vAlign w:val="bottom"/>
            <w:gridSpan w:val="2"/>
          </w:tcPr>
          <w:p>
            <w:pPr>
              <w:ind w:left="620"/>
              <w:spacing w:after="0"/>
              <w:rPr>
                <w:sz w:val="20"/>
                <w:szCs w:val="20"/>
                <w:color w:val="auto"/>
              </w:rPr>
            </w:pPr>
            <w:r>
              <w:rPr>
                <w:rFonts w:ascii="Arial" w:cs="Arial" w:eastAsia="Arial" w:hAnsi="Arial"/>
                <w:sz w:val="18"/>
                <w:szCs w:val="18"/>
                <w:b w:val="1"/>
                <w:bCs w:val="1"/>
                <w:color w:val="auto"/>
                <w:w w:val="99"/>
              </w:rPr>
              <w:t>$</w:t>
            </w: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rPr>
              <w:t>10.1</w:t>
            </w:r>
          </w:p>
        </w:tc>
        <w:tc>
          <w:tcPr>
            <w:tcW w:w="940" w:type="dxa"/>
            <w:vAlign w:val="bottom"/>
          </w:tcPr>
          <w:p>
            <w:pPr>
              <w:spacing w:after="0"/>
              <w:rPr>
                <w:sz w:val="18"/>
                <w:szCs w:val="18"/>
                <w:color w:val="auto"/>
              </w:rPr>
            </w:pPr>
          </w:p>
        </w:tc>
        <w:tc>
          <w:tcPr>
            <w:tcW w:w="136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19.8%</w:t>
            </w:r>
          </w:p>
        </w:tc>
        <w:tc>
          <w:tcPr>
            <w:tcW w:w="0" w:type="dxa"/>
            <w:vAlign w:val="bottom"/>
          </w:tcPr>
          <w:p>
            <w:pPr>
              <w:spacing w:after="0"/>
              <w:rPr>
                <w:sz w:val="1"/>
                <w:szCs w:val="1"/>
                <w:color w:val="auto"/>
              </w:rPr>
            </w:pPr>
          </w:p>
        </w:tc>
      </w:tr>
      <w:tr>
        <w:trPr>
          <w:trHeight w:val="216"/>
        </w:trPr>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 of revenue</w:t>
            </w: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9.7%</w:t>
            </w: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712"/>
              <w:spacing w:after="0"/>
              <w:rPr>
                <w:sz w:val="20"/>
                <w:szCs w:val="20"/>
                <w:color w:val="auto"/>
              </w:rPr>
            </w:pPr>
            <w:r>
              <w:rPr>
                <w:rFonts w:ascii="Arial" w:cs="Arial" w:eastAsia="Arial" w:hAnsi="Arial"/>
                <w:sz w:val="18"/>
                <w:szCs w:val="18"/>
                <w:b w:val="1"/>
                <w:bCs w:val="1"/>
                <w:color w:val="auto"/>
              </w:rPr>
              <w:t>8.2%</w:t>
            </w: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54"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The increase in research and development expenses in the second quarter of fiscal 2011 compared with the second quarter of fiscal 2010 was primarily attributable to a $0.6 million increase of share-based compensation related to the performance share vesting upon the achievement of new product development milestone during the quarter, as well as additional investments in new product innovation.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and Administrative Expense</w:t>
      </w:r>
    </w:p>
    <w:p>
      <w:pPr>
        <w:spacing w:after="0" w:line="207"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37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gridSpan w:val="4"/>
          </w:tcPr>
          <w:p>
            <w:pPr>
              <w:ind w:left="560"/>
              <w:spacing w:after="0"/>
              <w:rPr>
                <w:sz w:val="20"/>
                <w:szCs w:val="20"/>
                <w:color w:val="auto"/>
              </w:rPr>
            </w:pPr>
            <w:r>
              <w:rPr>
                <w:rFonts w:ascii="Arial" w:cs="Arial" w:eastAsia="Arial" w:hAnsi="Arial"/>
                <w:sz w:val="14"/>
                <w:szCs w:val="14"/>
                <w:b w:val="1"/>
                <w:bCs w:val="1"/>
                <w:color w:val="auto"/>
              </w:rPr>
              <w:t>Quarter Ended</w:t>
            </w:r>
          </w:p>
        </w:tc>
        <w:tc>
          <w:tcPr>
            <w:tcW w:w="500" w:type="dxa"/>
            <w:vAlign w:val="bottom"/>
            <w:tcBorders>
              <w:bottom w:val="single" w:sz="8" w:color="auto"/>
            </w:tcBorders>
          </w:tcPr>
          <w:p>
            <w:pPr>
              <w:spacing w:after="0"/>
              <w:rPr>
                <w:sz w:val="14"/>
                <w:szCs w:val="14"/>
                <w:color w:val="auto"/>
              </w:rPr>
            </w:pPr>
          </w:p>
        </w:tc>
        <w:tc>
          <w:tcPr>
            <w:tcW w:w="940" w:type="dxa"/>
            <w:vAlign w:val="bottom"/>
          </w:tcPr>
          <w:p>
            <w:pPr>
              <w:spacing w:after="0"/>
              <w:rPr>
                <w:sz w:val="14"/>
                <w:szCs w:val="14"/>
                <w:color w:val="auto"/>
              </w:rPr>
            </w:pPr>
          </w:p>
        </w:tc>
        <w:tc>
          <w:tcPr>
            <w:tcW w:w="142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82"/>
              </w:rPr>
              <w:t>Percentage</w:t>
            </w:r>
          </w:p>
        </w:tc>
        <w:tc>
          <w:tcPr>
            <w:tcW w:w="0" w:type="dxa"/>
            <w:vAlign w:val="bottom"/>
          </w:tcPr>
          <w:p>
            <w:pPr>
              <w:spacing w:after="0"/>
              <w:rPr>
                <w:sz w:val="1"/>
                <w:szCs w:val="1"/>
                <w:color w:val="auto"/>
              </w:rPr>
            </w:pPr>
          </w:p>
        </w:tc>
      </w:tr>
      <w:tr>
        <w:trPr>
          <w:trHeight w:val="129"/>
        </w:trPr>
        <w:tc>
          <w:tcPr>
            <w:tcW w:w="37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140" w:type="dxa"/>
            <w:vAlign w:val="bottom"/>
            <w:gridSpan w:val="3"/>
          </w:tcPr>
          <w:p>
            <w:pPr>
              <w:ind w:left="20"/>
              <w:spacing w:after="0" w:line="129" w:lineRule="exact"/>
              <w:rPr>
                <w:sz w:val="20"/>
                <w:szCs w:val="20"/>
                <w:color w:val="auto"/>
              </w:rPr>
            </w:pPr>
            <w:r>
              <w:rPr>
                <w:rFonts w:ascii="Arial" w:cs="Arial" w:eastAsia="Arial" w:hAnsi="Arial"/>
                <w:sz w:val="14"/>
                <w:szCs w:val="14"/>
                <w:b w:val="1"/>
                <w:bCs w:val="1"/>
                <w:color w:val="auto"/>
              </w:rPr>
              <w:t>December 31,</w:t>
            </w:r>
          </w:p>
        </w:tc>
        <w:tc>
          <w:tcPr>
            <w:tcW w:w="600" w:type="dxa"/>
            <w:vAlign w:val="bottom"/>
          </w:tcPr>
          <w:p>
            <w:pPr>
              <w:spacing w:after="0"/>
              <w:rPr>
                <w:sz w:val="11"/>
                <w:szCs w:val="11"/>
                <w:color w:val="auto"/>
              </w:rPr>
            </w:pPr>
          </w:p>
        </w:tc>
        <w:tc>
          <w:tcPr>
            <w:tcW w:w="62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w w:val="86"/>
              </w:rPr>
              <w:t>January 1,</w:t>
            </w:r>
          </w:p>
        </w:tc>
        <w:tc>
          <w:tcPr>
            <w:tcW w:w="940" w:type="dxa"/>
            <w:vAlign w:val="bottom"/>
          </w:tcPr>
          <w:p>
            <w:pPr>
              <w:spacing w:after="0"/>
              <w:rPr>
                <w:sz w:val="11"/>
                <w:szCs w:val="11"/>
                <w:color w:val="auto"/>
              </w:rPr>
            </w:pPr>
          </w:p>
        </w:tc>
        <w:tc>
          <w:tcPr>
            <w:tcW w:w="142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37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80"/>
              <w:spacing w:after="0"/>
              <w:rPr>
                <w:sz w:val="20"/>
                <w:szCs w:val="20"/>
                <w:color w:val="auto"/>
              </w:rPr>
            </w:pPr>
            <w:r>
              <w:rPr>
                <w:rFonts w:ascii="Arial" w:cs="Arial" w:eastAsia="Arial" w:hAnsi="Arial"/>
                <w:sz w:val="14"/>
                <w:szCs w:val="14"/>
                <w:b w:val="1"/>
                <w:bCs w:val="1"/>
                <w:color w:val="auto"/>
              </w:rPr>
              <w:t>2010</w:t>
            </w:r>
          </w:p>
        </w:tc>
        <w:tc>
          <w:tcPr>
            <w:tcW w:w="3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97"/>
              <w:spacing w:after="0"/>
              <w:rPr>
                <w:sz w:val="20"/>
                <w:szCs w:val="20"/>
                <w:color w:val="auto"/>
              </w:rPr>
            </w:pPr>
            <w:r>
              <w:rPr>
                <w:rFonts w:ascii="Arial" w:cs="Arial" w:eastAsia="Arial" w:hAnsi="Arial"/>
                <w:sz w:val="14"/>
                <w:szCs w:val="14"/>
                <w:b w:val="1"/>
                <w:bCs w:val="1"/>
                <w:color w:val="auto"/>
                <w:w w:val="96"/>
              </w:rPr>
              <w:t>2010</w:t>
            </w:r>
          </w:p>
        </w:tc>
        <w:tc>
          <w:tcPr>
            <w:tcW w:w="940" w:type="dxa"/>
            <w:vAlign w:val="bottom"/>
          </w:tcPr>
          <w:p>
            <w:pPr>
              <w:spacing w:after="0"/>
              <w:rPr>
                <w:sz w:val="14"/>
                <w:szCs w:val="14"/>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6"/>
              </w:rPr>
              <w:t>Increase/(Decrease)</w:t>
            </w: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7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20" w:type="dxa"/>
            <w:vAlign w:val="bottom"/>
            <w:gridSpan w:val="3"/>
          </w:tcPr>
          <w:p>
            <w:pPr>
              <w:jc w:val="right"/>
              <w:spacing w:after="0" w:line="142" w:lineRule="exact"/>
              <w:rPr>
                <w:sz w:val="20"/>
                <w:szCs w:val="20"/>
                <w:color w:val="auto"/>
              </w:rPr>
            </w:pPr>
            <w:r>
              <w:rPr>
                <w:rFonts w:ascii="Arial" w:cs="Arial" w:eastAsia="Arial" w:hAnsi="Arial"/>
                <w:sz w:val="14"/>
                <w:szCs w:val="14"/>
                <w:b w:val="1"/>
                <w:bCs w:val="1"/>
                <w:color w:val="auto"/>
                <w:w w:val="95"/>
              </w:rPr>
              <w:t>(In millions, except</w:t>
            </w:r>
          </w:p>
        </w:tc>
        <w:tc>
          <w:tcPr>
            <w:tcW w:w="940" w:type="dxa"/>
            <w:vAlign w:val="bottom"/>
          </w:tcPr>
          <w:p>
            <w:pPr>
              <w:jc w:val="right"/>
              <w:ind w:right="72"/>
              <w:spacing w:after="0" w:line="142" w:lineRule="exact"/>
              <w:rPr>
                <w:sz w:val="20"/>
                <w:szCs w:val="20"/>
                <w:color w:val="auto"/>
              </w:rPr>
            </w:pPr>
            <w:r>
              <w:rPr>
                <w:rFonts w:ascii="Arial" w:cs="Arial" w:eastAsia="Arial" w:hAnsi="Arial"/>
                <w:sz w:val="14"/>
                <w:szCs w:val="14"/>
                <w:b w:val="1"/>
                <w:bCs w:val="1"/>
                <w:color w:val="auto"/>
                <w:w w:val="89"/>
              </w:rPr>
              <w:t>percentages)</w:t>
            </w:r>
          </w:p>
        </w:tc>
        <w:tc>
          <w:tcPr>
            <w:tcW w:w="1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1340" w:type="dxa"/>
            <w:vAlign w:val="bottom"/>
            <w:gridSpan w:val="2"/>
            <w:shd w:val="clear" w:color="auto" w:fill="CCEEFF"/>
          </w:tcPr>
          <w:p>
            <w:pPr>
              <w:ind w:left="1160"/>
              <w:spacing w:after="0"/>
              <w:rPr>
                <w:sz w:val="20"/>
                <w:szCs w:val="20"/>
                <w:color w:val="auto"/>
              </w:rPr>
            </w:pPr>
            <w:r>
              <w:rPr>
                <w:rFonts w:ascii="Arial" w:cs="Arial" w:eastAsia="Arial" w:hAnsi="Arial"/>
                <w:sz w:val="18"/>
                <w:szCs w:val="18"/>
                <w:b w:val="1"/>
                <w:bCs w:val="1"/>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124.2</w:t>
            </w:r>
          </w:p>
        </w:tc>
        <w:tc>
          <w:tcPr>
            <w:tcW w:w="3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600"/>
              <w:spacing w:after="0"/>
              <w:rPr>
                <w:sz w:val="20"/>
                <w:szCs w:val="20"/>
                <w:color w:val="auto"/>
              </w:rPr>
            </w:pPr>
            <w:r>
              <w:rPr>
                <w:rFonts w:ascii="Arial" w:cs="Arial" w:eastAsia="Arial" w:hAnsi="Arial"/>
                <w:sz w:val="18"/>
                <w:szCs w:val="18"/>
                <w:b w:val="1"/>
                <w:bCs w:val="1"/>
                <w:color w:val="auto"/>
                <w:w w:val="99"/>
              </w:rPr>
              <w:t>$</w:t>
            </w:r>
          </w:p>
        </w:tc>
        <w:tc>
          <w:tcPr>
            <w:tcW w:w="1440" w:type="dxa"/>
            <w:vAlign w:val="bottom"/>
            <w:gridSpan w:val="2"/>
            <w:shd w:val="clear" w:color="auto" w:fill="CCEEFF"/>
          </w:tcPr>
          <w:p>
            <w:pPr>
              <w:jc w:val="right"/>
              <w:ind w:right="872"/>
              <w:spacing w:after="0"/>
              <w:rPr>
                <w:sz w:val="20"/>
                <w:szCs w:val="20"/>
                <w:color w:val="auto"/>
              </w:rPr>
            </w:pPr>
            <w:r>
              <w:rPr>
                <w:rFonts w:ascii="Arial" w:cs="Arial" w:eastAsia="Arial" w:hAnsi="Arial"/>
                <w:sz w:val="18"/>
                <w:szCs w:val="18"/>
                <w:b w:val="1"/>
                <w:bCs w:val="1"/>
                <w:color w:val="auto"/>
              </w:rPr>
              <w:t>122.6</w:t>
            </w: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1.3%</w:t>
            </w:r>
          </w:p>
        </w:tc>
        <w:tc>
          <w:tcPr>
            <w:tcW w:w="0" w:type="dxa"/>
            <w:vAlign w:val="bottom"/>
          </w:tcPr>
          <w:p>
            <w:pPr>
              <w:spacing w:after="0"/>
              <w:rPr>
                <w:sz w:val="1"/>
                <w:szCs w:val="1"/>
                <w:color w:val="auto"/>
              </w:rPr>
            </w:pPr>
          </w:p>
        </w:tc>
      </w:tr>
      <w:tr>
        <w:trPr>
          <w:trHeight w:val="216"/>
        </w:trPr>
        <w:tc>
          <w:tcPr>
            <w:tcW w:w="3700" w:type="dxa"/>
            <w:vAlign w:val="bottom"/>
          </w:tcPr>
          <w:p>
            <w:pPr>
              <w:spacing w:after="0"/>
              <w:rPr>
                <w:sz w:val="20"/>
                <w:szCs w:val="20"/>
                <w:color w:val="auto"/>
              </w:rPr>
            </w:pPr>
            <w:r>
              <w:rPr>
                <w:rFonts w:ascii="Arial" w:cs="Arial" w:eastAsia="Arial" w:hAnsi="Arial"/>
                <w:sz w:val="18"/>
                <w:szCs w:val="18"/>
                <w:color w:val="auto"/>
              </w:rPr>
              <w:t>Selling and administrative expenses</w:t>
            </w:r>
          </w:p>
        </w:tc>
        <w:tc>
          <w:tcPr>
            <w:tcW w:w="1340" w:type="dxa"/>
            <w:vAlign w:val="bottom"/>
            <w:gridSpan w:val="2"/>
          </w:tcPr>
          <w:p>
            <w:pPr>
              <w:ind w:left="1160"/>
              <w:spacing w:after="0"/>
              <w:rPr>
                <w:sz w:val="20"/>
                <w:szCs w:val="20"/>
                <w:color w:val="auto"/>
              </w:rPr>
            </w:pPr>
            <w:r>
              <w:rPr>
                <w:rFonts w:ascii="Arial" w:cs="Arial" w:eastAsia="Arial" w:hAnsi="Arial"/>
                <w:sz w:val="18"/>
                <w:szCs w:val="18"/>
                <w:b w:val="1"/>
                <w:bCs w:val="1"/>
                <w:color w:val="auto"/>
              </w:rPr>
              <w:t>$</w:t>
            </w:r>
          </w:p>
        </w:tc>
        <w:tc>
          <w:tcPr>
            <w:tcW w:w="620" w:type="dxa"/>
            <w:vAlign w:val="bottom"/>
          </w:tcPr>
          <w:p>
            <w:pPr>
              <w:jc w:val="right"/>
              <w:spacing w:after="0"/>
              <w:rPr>
                <w:sz w:val="20"/>
                <w:szCs w:val="20"/>
                <w:color w:val="auto"/>
              </w:rPr>
            </w:pPr>
            <w:r>
              <w:rPr>
                <w:rFonts w:ascii="Arial" w:cs="Arial" w:eastAsia="Arial" w:hAnsi="Arial"/>
                <w:sz w:val="18"/>
                <w:szCs w:val="18"/>
                <w:b w:val="1"/>
                <w:bCs w:val="1"/>
                <w:color w:val="auto"/>
              </w:rPr>
              <w:t>26.5</w:t>
            </w:r>
          </w:p>
        </w:tc>
        <w:tc>
          <w:tcPr>
            <w:tcW w:w="340" w:type="dxa"/>
            <w:vAlign w:val="bottom"/>
          </w:tcPr>
          <w:p>
            <w:pPr>
              <w:spacing w:after="0"/>
              <w:rPr>
                <w:sz w:val="18"/>
                <w:szCs w:val="18"/>
                <w:color w:val="auto"/>
              </w:rPr>
            </w:pPr>
          </w:p>
        </w:tc>
        <w:tc>
          <w:tcPr>
            <w:tcW w:w="720" w:type="dxa"/>
            <w:vAlign w:val="bottom"/>
            <w:gridSpan w:val="2"/>
          </w:tcPr>
          <w:p>
            <w:pPr>
              <w:ind w:left="600"/>
              <w:spacing w:after="0"/>
              <w:rPr>
                <w:sz w:val="20"/>
                <w:szCs w:val="20"/>
                <w:color w:val="auto"/>
              </w:rPr>
            </w:pPr>
            <w:r>
              <w:rPr>
                <w:rFonts w:ascii="Arial" w:cs="Arial" w:eastAsia="Arial" w:hAnsi="Arial"/>
                <w:sz w:val="18"/>
                <w:szCs w:val="18"/>
                <w:b w:val="1"/>
                <w:bCs w:val="1"/>
                <w:color w:val="auto"/>
                <w:w w:val="99"/>
              </w:rPr>
              <w:t>$</w:t>
            </w:r>
          </w:p>
        </w:tc>
        <w:tc>
          <w:tcPr>
            <w:tcW w:w="1440" w:type="dxa"/>
            <w:vAlign w:val="bottom"/>
            <w:gridSpan w:val="2"/>
          </w:tcPr>
          <w:p>
            <w:pPr>
              <w:jc w:val="right"/>
              <w:ind w:right="872"/>
              <w:spacing w:after="0"/>
              <w:rPr>
                <w:sz w:val="20"/>
                <w:szCs w:val="20"/>
                <w:color w:val="auto"/>
              </w:rPr>
            </w:pPr>
            <w:r>
              <w:rPr>
                <w:rFonts w:ascii="Arial" w:cs="Arial" w:eastAsia="Arial" w:hAnsi="Arial"/>
                <w:sz w:val="18"/>
                <w:szCs w:val="18"/>
                <w:b w:val="1"/>
                <w:bCs w:val="1"/>
                <w:color w:val="auto"/>
              </w:rPr>
              <w:t>35.4</w:t>
            </w:r>
          </w:p>
        </w:tc>
        <w:tc>
          <w:tcPr>
            <w:tcW w:w="142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(25.1)%</w:t>
            </w:r>
          </w:p>
        </w:tc>
        <w:tc>
          <w:tcPr>
            <w:tcW w:w="0" w:type="dxa"/>
            <w:vAlign w:val="bottom"/>
          </w:tcPr>
          <w:p>
            <w:pPr>
              <w:spacing w:after="0"/>
              <w:rPr>
                <w:sz w:val="1"/>
                <w:szCs w:val="1"/>
                <w:color w:val="auto"/>
              </w:rPr>
            </w:pPr>
          </w:p>
        </w:tc>
      </w:tr>
      <w:tr>
        <w:trPr>
          <w:trHeight w:val="216"/>
        </w:trPr>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 of revenue</w:t>
            </w:r>
          </w:p>
        </w:tc>
        <w:tc>
          <w:tcPr>
            <w:tcW w:w="1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21.3%</w:t>
            </w: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692"/>
              <w:spacing w:after="0"/>
              <w:rPr>
                <w:sz w:val="20"/>
                <w:szCs w:val="20"/>
                <w:color w:val="auto"/>
              </w:rPr>
            </w:pPr>
            <w:r>
              <w:rPr>
                <w:rFonts w:ascii="Arial" w:cs="Arial" w:eastAsia="Arial" w:hAnsi="Arial"/>
                <w:sz w:val="18"/>
                <w:szCs w:val="18"/>
                <w:b w:val="1"/>
                <w:bCs w:val="1"/>
                <w:color w:val="auto"/>
              </w:rPr>
              <w:t>28.9%</w:t>
            </w:r>
          </w:p>
        </w:tc>
        <w:tc>
          <w:tcPr>
            <w:tcW w:w="1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54" w:lineRule="exact"/>
        <w:rPr>
          <w:sz w:val="20"/>
          <w:szCs w:val="20"/>
          <w:color w:val="auto"/>
        </w:rPr>
      </w:pPr>
    </w:p>
    <w:p>
      <w:pPr>
        <w:ind w:right="160" w:firstLine="456"/>
        <w:spacing w:after="0" w:line="298" w:lineRule="auto"/>
        <w:rPr>
          <w:sz w:val="20"/>
          <w:szCs w:val="20"/>
          <w:color w:val="auto"/>
        </w:rPr>
      </w:pPr>
      <w:r>
        <w:rPr>
          <w:rFonts w:ascii="Arial" w:cs="Arial" w:eastAsia="Arial" w:hAnsi="Arial"/>
          <w:sz w:val="16"/>
          <w:szCs w:val="16"/>
          <w:color w:val="auto"/>
        </w:rPr>
        <w:t>The $8.9 million decrease in selling and administrative expenses in the second quarter of fiscal 2011 compared with the second quarter of fiscal 2010 was primarily attributable to a $3.3 million decrease in salaries and wages resulting from the reduction of workforce under our restructuring plans. The decrease was also due to a $3.2 million decrease in sales agent commissions as the amount incurred in the second quarter of fiscal 2010 included sales agent commissions related to a substantial amount of sales from a customer in the Middle East, which was not repeated in fiscal 2011.</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207"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364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gridSpan w:val="4"/>
          </w:tcPr>
          <w:p>
            <w:pPr>
              <w:jc w:val="right"/>
              <w:ind w:right="172"/>
              <w:spacing w:after="0"/>
              <w:rPr>
                <w:sz w:val="20"/>
                <w:szCs w:val="20"/>
                <w:color w:val="auto"/>
              </w:rPr>
            </w:pPr>
            <w:r>
              <w:rPr>
                <w:rFonts w:ascii="Arial" w:cs="Arial" w:eastAsia="Arial" w:hAnsi="Arial"/>
                <w:sz w:val="14"/>
                <w:szCs w:val="14"/>
                <w:b w:val="1"/>
                <w:bCs w:val="1"/>
                <w:color w:val="auto"/>
              </w:rPr>
              <w:t>Quarter Ended</w:t>
            </w:r>
          </w:p>
        </w:tc>
        <w:tc>
          <w:tcPr>
            <w:tcW w:w="480" w:type="dxa"/>
            <w:vAlign w:val="bottom"/>
            <w:tcBorders>
              <w:bottom w:val="single" w:sz="8" w:color="auto"/>
            </w:tcBorders>
          </w:tcPr>
          <w:p>
            <w:pPr>
              <w:spacing w:after="0"/>
              <w:rPr>
                <w:sz w:val="14"/>
                <w:szCs w:val="14"/>
                <w:color w:val="auto"/>
              </w:rPr>
            </w:pPr>
          </w:p>
        </w:tc>
        <w:tc>
          <w:tcPr>
            <w:tcW w:w="900" w:type="dxa"/>
            <w:vAlign w:val="bottom"/>
          </w:tcPr>
          <w:p>
            <w:pPr>
              <w:spacing w:after="0"/>
              <w:rPr>
                <w:sz w:val="14"/>
                <w:szCs w:val="14"/>
                <w:color w:val="auto"/>
              </w:rPr>
            </w:pPr>
          </w:p>
        </w:tc>
        <w:tc>
          <w:tcPr>
            <w:tcW w:w="1220" w:type="dxa"/>
            <w:vAlign w:val="bottom"/>
            <w:gridSpan w:val="2"/>
            <w:vMerge w:val="restart"/>
          </w:tcPr>
          <w:p>
            <w:pPr>
              <w:jc w:val="right"/>
              <w:ind w:right="340"/>
              <w:spacing w:after="0"/>
              <w:rPr>
                <w:sz w:val="20"/>
                <w:szCs w:val="20"/>
                <w:color w:val="auto"/>
              </w:rPr>
            </w:pPr>
            <w:r>
              <w:rPr>
                <w:rFonts w:ascii="Arial" w:cs="Arial" w:eastAsia="Arial" w:hAnsi="Arial"/>
                <w:sz w:val="14"/>
                <w:szCs w:val="14"/>
                <w:b w:val="1"/>
                <w:bCs w:val="1"/>
                <w:color w:val="auto"/>
              </w:rPr>
              <w:t>Percentage</w:t>
            </w:r>
          </w:p>
        </w:tc>
        <w:tc>
          <w:tcPr>
            <w:tcW w:w="0" w:type="dxa"/>
            <w:vAlign w:val="bottom"/>
          </w:tcPr>
          <w:p>
            <w:pPr>
              <w:spacing w:after="0"/>
              <w:rPr>
                <w:sz w:val="1"/>
                <w:szCs w:val="1"/>
                <w:color w:val="auto"/>
              </w:rPr>
            </w:pPr>
          </w:p>
        </w:tc>
      </w:tr>
      <w:tr>
        <w:trPr>
          <w:trHeight w:val="129"/>
        </w:trPr>
        <w:tc>
          <w:tcPr>
            <w:tcW w:w="364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1040" w:type="dxa"/>
            <w:vAlign w:val="bottom"/>
            <w:gridSpan w:val="3"/>
          </w:tcPr>
          <w:p>
            <w:pPr>
              <w:jc w:val="right"/>
              <w:ind w:right="260"/>
              <w:spacing w:after="0" w:line="129" w:lineRule="exact"/>
              <w:rPr>
                <w:sz w:val="20"/>
                <w:szCs w:val="20"/>
                <w:color w:val="auto"/>
              </w:rPr>
            </w:pPr>
            <w:r>
              <w:rPr>
                <w:rFonts w:ascii="Arial" w:cs="Arial" w:eastAsia="Arial" w:hAnsi="Arial"/>
                <w:sz w:val="14"/>
                <w:szCs w:val="14"/>
                <w:b w:val="1"/>
                <w:bCs w:val="1"/>
                <w:color w:val="auto"/>
                <w:w w:val="83"/>
              </w:rPr>
              <w:t>December 31,</w:t>
            </w:r>
          </w:p>
        </w:tc>
        <w:tc>
          <w:tcPr>
            <w:tcW w:w="640" w:type="dxa"/>
            <w:vAlign w:val="bottom"/>
          </w:tcPr>
          <w:p>
            <w:pPr>
              <w:spacing w:after="0"/>
              <w:rPr>
                <w:sz w:val="11"/>
                <w:szCs w:val="11"/>
                <w:color w:val="auto"/>
              </w:rPr>
            </w:pPr>
          </w:p>
        </w:tc>
        <w:tc>
          <w:tcPr>
            <w:tcW w:w="620" w:type="dxa"/>
            <w:vAlign w:val="bottom"/>
            <w:gridSpan w:val="2"/>
          </w:tcPr>
          <w:p>
            <w:pPr>
              <w:jc w:val="right"/>
              <w:spacing w:after="0" w:line="129" w:lineRule="exact"/>
              <w:rPr>
                <w:sz w:val="20"/>
                <w:szCs w:val="20"/>
                <w:color w:val="auto"/>
              </w:rPr>
            </w:pPr>
            <w:r>
              <w:rPr>
                <w:rFonts w:ascii="Arial" w:cs="Arial" w:eastAsia="Arial" w:hAnsi="Arial"/>
                <w:sz w:val="14"/>
                <w:szCs w:val="14"/>
                <w:b w:val="1"/>
                <w:bCs w:val="1"/>
                <w:color w:val="auto"/>
                <w:w w:val="86"/>
              </w:rPr>
              <w:t>January 1,</w:t>
            </w:r>
          </w:p>
        </w:tc>
        <w:tc>
          <w:tcPr>
            <w:tcW w:w="900" w:type="dxa"/>
            <w:vAlign w:val="bottom"/>
          </w:tcPr>
          <w:p>
            <w:pPr>
              <w:spacing w:after="0"/>
              <w:rPr>
                <w:sz w:val="11"/>
                <w:szCs w:val="11"/>
                <w:color w:val="auto"/>
              </w:rPr>
            </w:pPr>
          </w:p>
        </w:tc>
        <w:tc>
          <w:tcPr>
            <w:tcW w:w="122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364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jc w:val="right"/>
              <w:ind w:right="180"/>
              <w:spacing w:after="0"/>
              <w:rPr>
                <w:sz w:val="20"/>
                <w:szCs w:val="20"/>
                <w:color w:val="auto"/>
              </w:rPr>
            </w:pPr>
            <w:r>
              <w:rPr>
                <w:rFonts w:ascii="Arial" w:cs="Arial" w:eastAsia="Arial" w:hAnsi="Arial"/>
                <w:sz w:val="14"/>
                <w:szCs w:val="14"/>
                <w:b w:val="1"/>
                <w:bCs w:val="1"/>
                <w:color w:val="auto"/>
              </w:rPr>
              <w:t>2010</w:t>
            </w:r>
          </w:p>
        </w:tc>
        <w:tc>
          <w:tcPr>
            <w:tcW w:w="2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jc w:val="right"/>
              <w:ind w:right="97"/>
              <w:spacing w:after="0"/>
              <w:rPr>
                <w:sz w:val="20"/>
                <w:szCs w:val="20"/>
                <w:color w:val="auto"/>
              </w:rPr>
            </w:pPr>
            <w:r>
              <w:rPr>
                <w:rFonts w:ascii="Arial" w:cs="Arial" w:eastAsia="Arial" w:hAnsi="Arial"/>
                <w:sz w:val="14"/>
                <w:szCs w:val="14"/>
                <w:b w:val="1"/>
                <w:bCs w:val="1"/>
                <w:color w:val="auto"/>
                <w:w w:val="89"/>
              </w:rPr>
              <w:t>2010</w:t>
            </w:r>
          </w:p>
        </w:tc>
        <w:tc>
          <w:tcPr>
            <w:tcW w:w="900" w:type="dxa"/>
            <w:vAlign w:val="bottom"/>
          </w:tcPr>
          <w:p>
            <w:pPr>
              <w:spacing w:after="0"/>
              <w:rPr>
                <w:sz w:val="14"/>
                <w:szCs w:val="14"/>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w w:val="83"/>
              </w:rPr>
              <w:t>Increase/(Decrease)</w:t>
            </w:r>
          </w:p>
        </w:tc>
        <w:tc>
          <w:tcPr>
            <w:tcW w:w="0" w:type="dxa"/>
            <w:vAlign w:val="bottom"/>
          </w:tcPr>
          <w:p>
            <w:pPr>
              <w:spacing w:after="0"/>
              <w:rPr>
                <w:sz w:val="1"/>
                <w:szCs w:val="1"/>
                <w:color w:val="auto"/>
              </w:rPr>
            </w:pPr>
          </w:p>
        </w:tc>
      </w:tr>
      <w:tr>
        <w:trPr>
          <w:trHeight w:val="20"/>
        </w:trPr>
        <w:tc>
          <w:tcPr>
            <w:tcW w:w="36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20" w:type="dxa"/>
            <w:vAlign w:val="bottom"/>
            <w:gridSpan w:val="2"/>
            <w:shd w:val="clear" w:color="auto" w:fill="000000"/>
          </w:tcPr>
          <w:p>
            <w:pPr>
              <w:spacing w:after="0" w:line="20" w:lineRule="exact"/>
              <w:rPr>
                <w:sz w:val="1"/>
                <w:szCs w:val="1"/>
                <w:color w:val="auto"/>
              </w:rPr>
            </w:pPr>
          </w:p>
        </w:tc>
        <w:tc>
          <w:tcPr>
            <w:tcW w:w="900" w:type="dxa"/>
            <w:vAlign w:val="bottom"/>
            <w:vMerge w:val="restart"/>
          </w:tcPr>
          <w:p>
            <w:pPr>
              <w:jc w:val="right"/>
              <w:ind w:right="52"/>
              <w:spacing w:after="0"/>
              <w:rPr>
                <w:sz w:val="20"/>
                <w:szCs w:val="20"/>
                <w:color w:val="auto"/>
              </w:rPr>
            </w:pPr>
            <w:r>
              <w:rPr>
                <w:rFonts w:ascii="Arial" w:cs="Arial" w:eastAsia="Arial" w:hAnsi="Arial"/>
                <w:sz w:val="14"/>
                <w:szCs w:val="14"/>
                <w:b w:val="1"/>
                <w:bCs w:val="1"/>
                <w:color w:val="auto"/>
                <w:w w:val="87"/>
              </w:rPr>
              <w:t>percentages)</w:t>
            </w:r>
          </w:p>
        </w:tc>
        <w:tc>
          <w:tcPr>
            <w:tcW w:w="11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364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60" w:type="dxa"/>
            <w:vAlign w:val="bottom"/>
            <w:gridSpan w:val="3"/>
          </w:tcPr>
          <w:p>
            <w:pPr>
              <w:jc w:val="right"/>
              <w:spacing w:after="0" w:line="142" w:lineRule="exact"/>
              <w:rPr>
                <w:sz w:val="20"/>
                <w:szCs w:val="20"/>
                <w:color w:val="auto"/>
              </w:rPr>
            </w:pPr>
            <w:r>
              <w:rPr>
                <w:rFonts w:ascii="Arial" w:cs="Arial" w:eastAsia="Arial" w:hAnsi="Arial"/>
                <w:sz w:val="14"/>
                <w:szCs w:val="14"/>
                <w:b w:val="1"/>
                <w:bCs w:val="1"/>
                <w:color w:val="auto"/>
                <w:w w:val="98"/>
              </w:rPr>
              <w:t>(In millions, except</w:t>
            </w:r>
          </w:p>
        </w:tc>
        <w:tc>
          <w:tcPr>
            <w:tcW w:w="900" w:type="dxa"/>
            <w:vAlign w:val="bottom"/>
            <w:vMerge w:val="continue"/>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Loss before income taxes</w:t>
            </w:r>
          </w:p>
        </w:tc>
        <w:tc>
          <w:tcPr>
            <w:tcW w:w="168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(7.2)</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380" w:type="dxa"/>
            <w:vAlign w:val="bottom"/>
            <w:gridSpan w:val="2"/>
            <w:shd w:val="clear" w:color="auto" w:fill="CCEEFF"/>
          </w:tcPr>
          <w:p>
            <w:pPr>
              <w:jc w:val="right"/>
              <w:ind w:right="772"/>
              <w:spacing w:after="0"/>
              <w:rPr>
                <w:sz w:val="20"/>
                <w:szCs w:val="20"/>
                <w:color w:val="auto"/>
              </w:rPr>
            </w:pPr>
            <w:r>
              <w:rPr>
                <w:rFonts w:ascii="Arial" w:cs="Arial" w:eastAsia="Arial" w:hAnsi="Arial"/>
                <w:sz w:val="18"/>
                <w:szCs w:val="18"/>
                <w:b w:val="1"/>
                <w:bCs w:val="1"/>
                <w:color w:val="auto"/>
              </w:rPr>
              <w:t>(6.5)</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N/M</w:t>
            </w:r>
          </w:p>
        </w:tc>
        <w:tc>
          <w:tcPr>
            <w:tcW w:w="0" w:type="dxa"/>
            <w:vAlign w:val="bottom"/>
          </w:tcPr>
          <w:p>
            <w:pPr>
              <w:spacing w:after="0"/>
              <w:rPr>
                <w:sz w:val="1"/>
                <w:szCs w:val="1"/>
                <w:color w:val="auto"/>
              </w:rPr>
            </w:pPr>
          </w:p>
        </w:tc>
      </w:tr>
      <w:tr>
        <w:trPr>
          <w:trHeight w:val="216"/>
        </w:trPr>
        <w:tc>
          <w:tcPr>
            <w:tcW w:w="364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1680" w:type="dxa"/>
            <w:vAlign w:val="bottom"/>
            <w:gridSpan w:val="2"/>
          </w:tcPr>
          <w:p>
            <w:pPr>
              <w:jc w:val="right"/>
              <w:ind w:right="12"/>
              <w:spacing w:after="0"/>
              <w:rPr>
                <w:sz w:val="20"/>
                <w:szCs w:val="20"/>
                <w:color w:val="auto"/>
              </w:rPr>
            </w:pPr>
            <w:r>
              <w:rPr>
                <w:rFonts w:ascii="Arial" w:cs="Arial" w:eastAsia="Arial" w:hAnsi="Arial"/>
                <w:sz w:val="18"/>
                <w:szCs w:val="18"/>
                <w:b w:val="1"/>
                <w:bCs w:val="1"/>
                <w:color w:val="auto"/>
              </w:rPr>
              <w:t>$</w:t>
            </w:r>
          </w:p>
        </w:tc>
        <w:tc>
          <w:tcPr>
            <w:tcW w:w="620" w:type="dxa"/>
            <w:vAlign w:val="bottom"/>
          </w:tcPr>
          <w:p>
            <w:pPr>
              <w:jc w:val="right"/>
              <w:spacing w:after="0"/>
              <w:rPr>
                <w:sz w:val="20"/>
                <w:szCs w:val="20"/>
                <w:color w:val="auto"/>
              </w:rPr>
            </w:pPr>
            <w:r>
              <w:rPr>
                <w:rFonts w:ascii="Arial" w:cs="Arial" w:eastAsia="Arial" w:hAnsi="Arial"/>
                <w:sz w:val="18"/>
                <w:szCs w:val="18"/>
                <w:b w:val="1"/>
                <w:bCs w:val="1"/>
                <w:color w:val="auto"/>
              </w:rPr>
              <w:t>5.3</w:t>
            </w:r>
          </w:p>
        </w:tc>
        <w:tc>
          <w:tcPr>
            <w:tcW w:w="26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480" w:type="dxa"/>
            <w:vAlign w:val="bottom"/>
          </w:tcPr>
          <w:p>
            <w:pPr>
              <w:jc w:val="right"/>
              <w:spacing w:after="0"/>
              <w:rPr>
                <w:sz w:val="20"/>
                <w:szCs w:val="20"/>
                <w:color w:val="auto"/>
              </w:rPr>
            </w:pPr>
            <w:r>
              <w:rPr>
                <w:rFonts w:ascii="Arial" w:cs="Arial" w:eastAsia="Arial" w:hAnsi="Arial"/>
                <w:sz w:val="18"/>
                <w:szCs w:val="18"/>
                <w:b w:val="1"/>
                <w:bCs w:val="1"/>
                <w:color w:val="auto"/>
              </w:rPr>
              <w:t>1.4</w:t>
            </w:r>
          </w:p>
        </w:tc>
        <w:tc>
          <w:tcPr>
            <w:tcW w:w="90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N/M</w:t>
            </w:r>
          </w:p>
        </w:tc>
        <w:tc>
          <w:tcPr>
            <w:tcW w:w="0" w:type="dxa"/>
            <w:vAlign w:val="bottom"/>
          </w:tcPr>
          <w:p>
            <w:pPr>
              <w:spacing w:after="0"/>
              <w:rPr>
                <w:sz w:val="1"/>
                <w:szCs w:val="1"/>
                <w:color w:val="auto"/>
              </w:rPr>
            </w:pPr>
          </w:p>
        </w:tc>
      </w:tr>
      <w:tr>
        <w:trPr>
          <w:trHeight w:val="216"/>
        </w:trPr>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 of loss before income taxes</w:t>
            </w:r>
          </w:p>
        </w:tc>
        <w:tc>
          <w:tcPr>
            <w:tcW w:w="1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N/M</w:t>
            </w: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832"/>
              <w:spacing w:after="0"/>
              <w:rPr>
                <w:sz w:val="20"/>
                <w:szCs w:val="20"/>
                <w:color w:val="auto"/>
              </w:rPr>
            </w:pPr>
            <w:r>
              <w:rPr>
                <w:rFonts w:ascii="Arial" w:cs="Arial" w:eastAsia="Arial" w:hAnsi="Arial"/>
                <w:sz w:val="18"/>
                <w:szCs w:val="18"/>
                <w:b w:val="1"/>
                <w:bCs w:val="1"/>
                <w:color w:val="auto"/>
              </w:rPr>
              <w:t>N/M</w:t>
            </w: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color w:val="auto"/>
        </w:rPr>
        <w:t>N/M = Not statistically meaningful</w:t>
      </w:r>
    </w:p>
    <w:p>
      <w:pPr>
        <w:spacing w:after="0" w:line="171" w:lineRule="exact"/>
        <w:rPr>
          <w:sz w:val="20"/>
          <w:szCs w:val="20"/>
          <w:color w:val="auto"/>
        </w:rPr>
      </w:pPr>
    </w:p>
    <w:p>
      <w:pPr>
        <w:jc w:val="both"/>
        <w:ind w:right="20" w:firstLine="456"/>
        <w:spacing w:after="0" w:line="259" w:lineRule="auto"/>
        <w:rPr>
          <w:sz w:val="20"/>
          <w:szCs w:val="20"/>
          <w:color w:val="auto"/>
        </w:rPr>
      </w:pPr>
      <w:r>
        <w:rPr>
          <w:rFonts w:ascii="Arial" w:cs="Arial" w:eastAsia="Arial" w:hAnsi="Arial"/>
          <w:sz w:val="18"/>
          <w:szCs w:val="18"/>
          <w:color w:val="auto"/>
        </w:rPr>
        <w:t>The determination of provision for income taxes for the second quarter of fiscal 2011 and fiscal 2010 was primarily based on our estimated annual effective tax rate adjusted for losses in separate jurisdictions for which no tax benefit can be recognized. The second quarter of fiscal 2011 incorporates a one-time income tax benefit of $2.6 million relating to recently passed Singapore legislation.</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459"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Our effective tax rate varies from the U.S. federal statutory rate of 35% due to results of foreign operations that are subject to income taxes at different statutory rates and certain jurisdictions where we cannot recognize tax benefits on current losses.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Discussion of Business Segment Results of Operations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North America Segment</w:t>
      </w:r>
    </w:p>
    <w:p>
      <w:pPr>
        <w:spacing w:after="0" w:line="207"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48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gridSpan w:val="4"/>
          </w:tcPr>
          <w:p>
            <w:pPr>
              <w:ind w:left="580"/>
              <w:spacing w:after="0"/>
              <w:rPr>
                <w:sz w:val="20"/>
                <w:szCs w:val="20"/>
                <w:color w:val="auto"/>
              </w:rPr>
            </w:pPr>
            <w:r>
              <w:rPr>
                <w:rFonts w:ascii="Arial" w:cs="Arial" w:eastAsia="Arial" w:hAnsi="Arial"/>
                <w:sz w:val="14"/>
                <w:szCs w:val="14"/>
                <w:b w:val="1"/>
                <w:bCs w:val="1"/>
                <w:color w:val="auto"/>
              </w:rPr>
              <w:t>Quarter Ended</w:t>
            </w:r>
          </w:p>
        </w:tc>
        <w:tc>
          <w:tcPr>
            <w:tcW w:w="500" w:type="dxa"/>
            <w:vAlign w:val="bottom"/>
            <w:tcBorders>
              <w:bottom w:val="single" w:sz="8" w:color="auto"/>
            </w:tcBorders>
          </w:tcPr>
          <w:p>
            <w:pPr>
              <w:spacing w:after="0"/>
              <w:rPr>
                <w:sz w:val="14"/>
                <w:szCs w:val="14"/>
                <w:color w:val="auto"/>
              </w:rPr>
            </w:pPr>
          </w:p>
        </w:tc>
        <w:tc>
          <w:tcPr>
            <w:tcW w:w="960" w:type="dxa"/>
            <w:vAlign w:val="bottom"/>
          </w:tcPr>
          <w:p>
            <w:pPr>
              <w:spacing w:after="0"/>
              <w:rPr>
                <w:sz w:val="14"/>
                <w:szCs w:val="14"/>
                <w:color w:val="auto"/>
              </w:rPr>
            </w:pPr>
          </w:p>
        </w:tc>
        <w:tc>
          <w:tcPr>
            <w:tcW w:w="1420" w:type="dxa"/>
            <w:vAlign w:val="bottom"/>
            <w:gridSpan w:val="2"/>
            <w:vMerge w:val="restart"/>
          </w:tcPr>
          <w:p>
            <w:pPr>
              <w:jc w:val="right"/>
              <w:ind w:right="540"/>
              <w:spacing w:after="0"/>
              <w:rPr>
                <w:sz w:val="20"/>
                <w:szCs w:val="20"/>
                <w:color w:val="auto"/>
              </w:rPr>
            </w:pPr>
            <w:r>
              <w:rPr>
                <w:rFonts w:ascii="Arial" w:cs="Arial" w:eastAsia="Arial" w:hAnsi="Arial"/>
                <w:sz w:val="14"/>
                <w:szCs w:val="14"/>
                <w:b w:val="1"/>
                <w:bCs w:val="1"/>
                <w:color w:val="auto"/>
              </w:rPr>
              <w:t>Percentage</w:t>
            </w:r>
          </w:p>
        </w:tc>
        <w:tc>
          <w:tcPr>
            <w:tcW w:w="0" w:type="dxa"/>
            <w:vAlign w:val="bottom"/>
          </w:tcPr>
          <w:p>
            <w:pPr>
              <w:spacing w:after="0"/>
              <w:rPr>
                <w:sz w:val="1"/>
                <w:szCs w:val="1"/>
                <w:color w:val="auto"/>
              </w:rPr>
            </w:pPr>
          </w:p>
        </w:tc>
      </w:tr>
      <w:tr>
        <w:trPr>
          <w:trHeight w:val="129"/>
        </w:trPr>
        <w:tc>
          <w:tcPr>
            <w:tcW w:w="4800" w:type="dxa"/>
            <w:vAlign w:val="bottom"/>
          </w:tcPr>
          <w:p>
            <w:pPr>
              <w:spacing w:after="0"/>
              <w:rPr>
                <w:sz w:val="11"/>
                <w:szCs w:val="11"/>
                <w:color w:val="auto"/>
              </w:rPr>
            </w:pPr>
          </w:p>
        </w:tc>
        <w:tc>
          <w:tcPr>
            <w:tcW w:w="118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December 31,</w:t>
            </w:r>
          </w:p>
        </w:tc>
        <w:tc>
          <w:tcPr>
            <w:tcW w:w="580" w:type="dxa"/>
            <w:vAlign w:val="bottom"/>
          </w:tcPr>
          <w:p>
            <w:pPr>
              <w:spacing w:after="0"/>
              <w:rPr>
                <w:sz w:val="11"/>
                <w:szCs w:val="11"/>
                <w:color w:val="auto"/>
              </w:rPr>
            </w:pPr>
          </w:p>
        </w:tc>
        <w:tc>
          <w:tcPr>
            <w:tcW w:w="640" w:type="dxa"/>
            <w:vAlign w:val="bottom"/>
            <w:gridSpan w:val="2"/>
          </w:tcPr>
          <w:p>
            <w:pPr>
              <w:ind w:left="20"/>
              <w:spacing w:after="0" w:line="129" w:lineRule="exact"/>
              <w:rPr>
                <w:sz w:val="20"/>
                <w:szCs w:val="20"/>
                <w:color w:val="auto"/>
              </w:rPr>
            </w:pPr>
            <w:r>
              <w:rPr>
                <w:rFonts w:ascii="Arial" w:cs="Arial" w:eastAsia="Arial" w:hAnsi="Arial"/>
                <w:sz w:val="14"/>
                <w:szCs w:val="14"/>
                <w:b w:val="1"/>
                <w:bCs w:val="1"/>
                <w:color w:val="auto"/>
                <w:w w:val="86"/>
              </w:rPr>
              <w:t>January 1,</w:t>
            </w:r>
          </w:p>
        </w:tc>
        <w:tc>
          <w:tcPr>
            <w:tcW w:w="960" w:type="dxa"/>
            <w:vAlign w:val="bottom"/>
          </w:tcPr>
          <w:p>
            <w:pPr>
              <w:spacing w:after="0"/>
              <w:rPr>
                <w:sz w:val="11"/>
                <w:szCs w:val="11"/>
                <w:color w:val="auto"/>
              </w:rPr>
            </w:pPr>
          </w:p>
        </w:tc>
        <w:tc>
          <w:tcPr>
            <w:tcW w:w="142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48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80"/>
              <w:spacing w:after="0"/>
              <w:rPr>
                <w:sz w:val="20"/>
                <w:szCs w:val="20"/>
                <w:color w:val="auto"/>
              </w:rPr>
            </w:pPr>
            <w:r>
              <w:rPr>
                <w:rFonts w:ascii="Arial" w:cs="Arial" w:eastAsia="Arial" w:hAnsi="Arial"/>
                <w:sz w:val="14"/>
                <w:szCs w:val="14"/>
                <w:b w:val="1"/>
                <w:bCs w:val="1"/>
                <w:color w:val="auto"/>
              </w:rPr>
              <w:t>2010</w:t>
            </w:r>
          </w:p>
        </w:tc>
        <w:tc>
          <w:tcPr>
            <w:tcW w:w="3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97"/>
              <w:spacing w:after="0"/>
              <w:rPr>
                <w:sz w:val="20"/>
                <w:szCs w:val="20"/>
                <w:color w:val="auto"/>
              </w:rPr>
            </w:pPr>
            <w:r>
              <w:rPr>
                <w:rFonts w:ascii="Arial" w:cs="Arial" w:eastAsia="Arial" w:hAnsi="Arial"/>
                <w:sz w:val="14"/>
                <w:szCs w:val="14"/>
                <w:b w:val="1"/>
                <w:bCs w:val="1"/>
                <w:color w:val="auto"/>
                <w:w w:val="96"/>
              </w:rPr>
              <w:t>2010</w:t>
            </w:r>
          </w:p>
        </w:tc>
        <w:tc>
          <w:tcPr>
            <w:tcW w:w="960" w:type="dxa"/>
            <w:vAlign w:val="bottom"/>
          </w:tcPr>
          <w:p>
            <w:pPr>
              <w:spacing w:after="0"/>
              <w:rPr>
                <w:sz w:val="14"/>
                <w:szCs w:val="14"/>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4"/>
              </w:rPr>
              <w:t>Increase/(Decrease)</w:t>
            </w: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8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20" w:type="dxa"/>
            <w:vAlign w:val="bottom"/>
            <w:gridSpan w:val="3"/>
          </w:tcPr>
          <w:p>
            <w:pPr>
              <w:jc w:val="right"/>
              <w:spacing w:after="0" w:line="142" w:lineRule="exact"/>
              <w:rPr>
                <w:sz w:val="20"/>
                <w:szCs w:val="20"/>
                <w:color w:val="auto"/>
              </w:rPr>
            </w:pPr>
            <w:r>
              <w:rPr>
                <w:rFonts w:ascii="Arial" w:cs="Arial" w:eastAsia="Arial" w:hAnsi="Arial"/>
                <w:sz w:val="14"/>
                <w:szCs w:val="14"/>
                <w:b w:val="1"/>
                <w:bCs w:val="1"/>
                <w:color w:val="auto"/>
                <w:w w:val="95"/>
              </w:rPr>
              <w:t>(In millions, except</w:t>
            </w:r>
          </w:p>
        </w:tc>
        <w:tc>
          <w:tcPr>
            <w:tcW w:w="960" w:type="dxa"/>
            <w:vAlign w:val="bottom"/>
          </w:tcPr>
          <w:p>
            <w:pPr>
              <w:jc w:val="right"/>
              <w:ind w:right="112"/>
              <w:spacing w:after="0" w:line="142" w:lineRule="exact"/>
              <w:rPr>
                <w:sz w:val="20"/>
                <w:szCs w:val="20"/>
                <w:color w:val="auto"/>
              </w:rPr>
            </w:pPr>
            <w:r>
              <w:rPr>
                <w:rFonts w:ascii="Arial" w:cs="Arial" w:eastAsia="Arial" w:hAnsi="Arial"/>
                <w:sz w:val="14"/>
                <w:szCs w:val="14"/>
                <w:b w:val="1"/>
                <w:bCs w:val="1"/>
                <w:color w:val="auto"/>
                <w:w w:val="87"/>
              </w:rPr>
              <w:t>percentages)</w:t>
            </w:r>
          </w:p>
        </w:tc>
        <w:tc>
          <w:tcPr>
            <w:tcW w:w="1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b w:val="1"/>
                <w:bCs w:val="1"/>
                <w:color w:val="auto"/>
              </w:rPr>
              <w:t>40.4</w:t>
            </w:r>
          </w:p>
        </w:tc>
        <w:tc>
          <w:tcPr>
            <w:tcW w:w="720" w:type="dxa"/>
            <w:vAlign w:val="bottom"/>
            <w:gridSpan w:val="2"/>
            <w:shd w:val="clear" w:color="auto" w:fill="CCEEFF"/>
          </w:tcPr>
          <w:p>
            <w:pPr>
              <w:ind w:left="600"/>
              <w:spacing w:after="0"/>
              <w:rPr>
                <w:sz w:val="20"/>
                <w:szCs w:val="20"/>
                <w:color w:val="auto"/>
              </w:rPr>
            </w:pPr>
            <w:r>
              <w:rPr>
                <w:rFonts w:ascii="Arial" w:cs="Arial" w:eastAsia="Arial" w:hAnsi="Arial"/>
                <w:sz w:val="18"/>
                <w:szCs w:val="18"/>
                <w:b w:val="1"/>
                <w:bCs w:val="1"/>
                <w:color w:val="auto"/>
                <w:w w:val="99"/>
              </w:rPr>
              <w:t>$</w:t>
            </w:r>
          </w:p>
        </w:tc>
        <w:tc>
          <w:tcPr>
            <w:tcW w:w="1460" w:type="dxa"/>
            <w:vAlign w:val="bottom"/>
            <w:gridSpan w:val="2"/>
            <w:shd w:val="clear" w:color="auto" w:fill="CCEEFF"/>
          </w:tcPr>
          <w:p>
            <w:pPr>
              <w:jc w:val="right"/>
              <w:ind w:right="892"/>
              <w:spacing w:after="0"/>
              <w:rPr>
                <w:sz w:val="20"/>
                <w:szCs w:val="20"/>
                <w:color w:val="auto"/>
              </w:rPr>
            </w:pPr>
            <w:r>
              <w:rPr>
                <w:rFonts w:ascii="Arial" w:cs="Arial" w:eastAsia="Arial" w:hAnsi="Arial"/>
                <w:sz w:val="18"/>
                <w:szCs w:val="18"/>
                <w:b w:val="1"/>
                <w:bCs w:val="1"/>
                <w:color w:val="auto"/>
              </w:rPr>
              <w:t>49.4</w:t>
            </w:r>
          </w:p>
        </w:tc>
        <w:tc>
          <w:tcPr>
            <w:tcW w:w="14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(18.2)%</w:t>
            </w:r>
          </w:p>
        </w:tc>
        <w:tc>
          <w:tcPr>
            <w:tcW w:w="0" w:type="dxa"/>
            <w:vAlign w:val="bottom"/>
          </w:tcPr>
          <w:p>
            <w:pPr>
              <w:spacing w:after="0"/>
              <w:rPr>
                <w:sz w:val="1"/>
                <w:szCs w:val="1"/>
                <w:color w:val="auto"/>
              </w:rPr>
            </w:pPr>
          </w:p>
        </w:tc>
      </w:tr>
      <w:tr>
        <w:trPr>
          <w:trHeight w:val="216"/>
        </w:trPr>
        <w:tc>
          <w:tcPr>
            <w:tcW w:w="4800" w:type="dxa"/>
            <w:vAlign w:val="bottom"/>
          </w:tcPr>
          <w:p>
            <w:pPr>
              <w:spacing w:after="0"/>
              <w:rPr>
                <w:sz w:val="20"/>
                <w:szCs w:val="20"/>
                <w:color w:val="auto"/>
              </w:rPr>
            </w:pPr>
            <w:r>
              <w:rPr>
                <w:rFonts w:ascii="Arial" w:cs="Arial" w:eastAsia="Arial" w:hAnsi="Arial"/>
                <w:sz w:val="18"/>
                <w:szCs w:val="18"/>
                <w:color w:val="auto"/>
              </w:rPr>
              <w:t>Segment operating loss</w:t>
            </w:r>
          </w:p>
        </w:tc>
        <w:tc>
          <w:tcPr>
            <w:tcW w:w="180" w:type="dxa"/>
            <w:vAlign w:val="bottom"/>
          </w:tcPr>
          <w:p>
            <w:pPr>
              <w:spacing w:after="0"/>
              <w:rPr>
                <w:sz w:val="20"/>
                <w:szCs w:val="20"/>
                <w:color w:val="auto"/>
              </w:rPr>
            </w:pPr>
            <w:r>
              <w:rPr>
                <w:rFonts w:ascii="Arial" w:cs="Arial" w:eastAsia="Arial" w:hAnsi="Arial"/>
                <w:sz w:val="18"/>
                <w:szCs w:val="18"/>
                <w:b w:val="1"/>
                <w:bCs w:val="1"/>
                <w:color w:val="auto"/>
              </w:rPr>
              <w:t>$</w:t>
            </w:r>
          </w:p>
        </w:tc>
        <w:tc>
          <w:tcPr>
            <w:tcW w:w="100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(1.3)</w:t>
            </w:r>
          </w:p>
        </w:tc>
        <w:tc>
          <w:tcPr>
            <w:tcW w:w="720" w:type="dxa"/>
            <w:vAlign w:val="bottom"/>
            <w:gridSpan w:val="2"/>
          </w:tcPr>
          <w:p>
            <w:pPr>
              <w:ind w:left="600"/>
              <w:spacing w:after="0"/>
              <w:rPr>
                <w:sz w:val="20"/>
                <w:szCs w:val="20"/>
                <w:color w:val="auto"/>
              </w:rPr>
            </w:pPr>
            <w:r>
              <w:rPr>
                <w:rFonts w:ascii="Arial" w:cs="Arial" w:eastAsia="Arial" w:hAnsi="Arial"/>
                <w:sz w:val="18"/>
                <w:szCs w:val="18"/>
                <w:b w:val="1"/>
                <w:bCs w:val="1"/>
                <w:color w:val="auto"/>
                <w:w w:val="99"/>
              </w:rPr>
              <w:t>$</w:t>
            </w:r>
          </w:p>
        </w:tc>
        <w:tc>
          <w:tcPr>
            <w:tcW w:w="1460" w:type="dxa"/>
            <w:vAlign w:val="bottom"/>
            <w:gridSpan w:val="2"/>
          </w:tcPr>
          <w:p>
            <w:pPr>
              <w:jc w:val="right"/>
              <w:ind w:right="852"/>
              <w:spacing w:after="0"/>
              <w:rPr>
                <w:sz w:val="20"/>
                <w:szCs w:val="20"/>
                <w:color w:val="auto"/>
              </w:rPr>
            </w:pPr>
            <w:r>
              <w:rPr>
                <w:rFonts w:ascii="Arial" w:cs="Arial" w:eastAsia="Arial" w:hAnsi="Arial"/>
                <w:sz w:val="18"/>
                <w:szCs w:val="18"/>
                <w:b w:val="1"/>
                <w:bCs w:val="1"/>
                <w:color w:val="auto"/>
              </w:rPr>
              <w:t>(9.6)</w:t>
            </w:r>
          </w:p>
        </w:tc>
        <w:tc>
          <w:tcPr>
            <w:tcW w:w="142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N/M</w:t>
            </w:r>
          </w:p>
        </w:tc>
        <w:tc>
          <w:tcPr>
            <w:tcW w:w="0" w:type="dxa"/>
            <w:vAlign w:val="bottom"/>
          </w:tcPr>
          <w:p>
            <w:pPr>
              <w:spacing w:after="0"/>
              <w:rPr>
                <w:sz w:val="1"/>
                <w:szCs w:val="1"/>
                <w:color w:val="auto"/>
              </w:rPr>
            </w:pPr>
          </w:p>
        </w:tc>
      </w:tr>
      <w:tr>
        <w:trPr>
          <w:trHeight w:val="216"/>
        </w:trPr>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 of revenue</w:t>
            </w: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(3.2)%</w:t>
            </w: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672"/>
              <w:spacing w:after="0"/>
              <w:rPr>
                <w:sz w:val="20"/>
                <w:szCs w:val="20"/>
                <w:color w:val="auto"/>
              </w:rPr>
            </w:pPr>
            <w:r>
              <w:rPr>
                <w:rFonts w:ascii="Arial" w:cs="Arial" w:eastAsia="Arial" w:hAnsi="Arial"/>
                <w:sz w:val="18"/>
                <w:szCs w:val="18"/>
                <w:b w:val="1"/>
                <w:bCs w:val="1"/>
                <w:color w:val="auto"/>
              </w:rPr>
              <w:t>(19.4)%</w:t>
            </w:r>
          </w:p>
        </w:tc>
        <w:tc>
          <w:tcPr>
            <w:tcW w:w="1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color w:val="auto"/>
        </w:rPr>
        <w:t>N/M = Not statistically meaningful</w:t>
      </w:r>
    </w:p>
    <w:p>
      <w:pPr>
        <w:spacing w:after="0" w:line="171"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We experienced a significant decrease in revenue in North America that resulted primarily from product transition to our current product platform from our legacy products, some continuing effects of the economic downturn, as well as increased competition. In the second quarter of fiscal 2010, most of our North America business was in our legacy products. While we continued last time buy activity in those product lines in the second quarter of fiscal 2011, we are also in the process of transitioning our North America customers to our current product. Many of our customers are now completing their first deployments of the current product. We expect orders for this line of products to increase in future periods as market acceptance gains traction. Revenue in North America benefited in the second quarter of fiscal 2011 because shipments delayed in the first quarter of fiscal 2011 were delivered and recognized as revenue in the second quarter of fiscal 2011. The shipment delays in the first quarter of fiscal 2011 were due to component shortages and supply chain issues from the transition to contract manufacturers.</w:t>
      </w:r>
    </w:p>
    <w:p>
      <w:pPr>
        <w:spacing w:after="0" w:line="145"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The North America segment operating loss for the second quarter fiscal 2011 included $2.1 million of restructuring charges, $0.5 million from the loss on sale of NetBoss assets and $1.0 million for share-based compensation.</w:t>
      </w:r>
    </w:p>
    <w:p>
      <w:pPr>
        <w:spacing w:after="0" w:line="132"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The North America segment operating loss for the second quarter fiscal 2010 included $0.7 million for restructuring charges and $0.4 million for share-based compensation.</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International Segment</w:t>
      </w:r>
    </w:p>
    <w:p>
      <w:pPr>
        <w:spacing w:after="0" w:line="207"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48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gridSpan w:val="4"/>
          </w:tcPr>
          <w:p>
            <w:pPr>
              <w:ind w:left="580"/>
              <w:spacing w:after="0"/>
              <w:rPr>
                <w:sz w:val="20"/>
                <w:szCs w:val="20"/>
                <w:color w:val="auto"/>
              </w:rPr>
            </w:pPr>
            <w:r>
              <w:rPr>
                <w:rFonts w:ascii="Arial" w:cs="Arial" w:eastAsia="Arial" w:hAnsi="Arial"/>
                <w:sz w:val="14"/>
                <w:szCs w:val="14"/>
                <w:b w:val="1"/>
                <w:bCs w:val="1"/>
                <w:color w:val="auto"/>
              </w:rPr>
              <w:t>Quarter Ended</w:t>
            </w:r>
          </w:p>
        </w:tc>
        <w:tc>
          <w:tcPr>
            <w:tcW w:w="480" w:type="dxa"/>
            <w:vAlign w:val="bottom"/>
            <w:tcBorders>
              <w:bottom w:val="single" w:sz="8" w:color="auto"/>
            </w:tcBorders>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gridSpan w:val="2"/>
            <w:vMerge w:val="restart"/>
          </w:tcPr>
          <w:p>
            <w:pPr>
              <w:jc w:val="right"/>
              <w:ind w:right="480"/>
              <w:spacing w:after="0"/>
              <w:rPr>
                <w:sz w:val="20"/>
                <w:szCs w:val="20"/>
                <w:color w:val="auto"/>
              </w:rPr>
            </w:pPr>
            <w:r>
              <w:rPr>
                <w:rFonts w:ascii="Arial" w:cs="Arial" w:eastAsia="Arial" w:hAnsi="Arial"/>
                <w:sz w:val="14"/>
                <w:szCs w:val="14"/>
                <w:b w:val="1"/>
                <w:bCs w:val="1"/>
                <w:color w:val="auto"/>
              </w:rPr>
              <w:t>Percentage</w:t>
            </w:r>
          </w:p>
        </w:tc>
        <w:tc>
          <w:tcPr>
            <w:tcW w:w="0" w:type="dxa"/>
            <w:vAlign w:val="bottom"/>
          </w:tcPr>
          <w:p>
            <w:pPr>
              <w:spacing w:after="0"/>
              <w:rPr>
                <w:sz w:val="1"/>
                <w:szCs w:val="1"/>
                <w:color w:val="auto"/>
              </w:rPr>
            </w:pPr>
          </w:p>
        </w:tc>
      </w:tr>
      <w:tr>
        <w:trPr>
          <w:trHeight w:val="129"/>
        </w:trPr>
        <w:tc>
          <w:tcPr>
            <w:tcW w:w="4880" w:type="dxa"/>
            <w:vAlign w:val="bottom"/>
          </w:tcPr>
          <w:p>
            <w:pPr>
              <w:spacing w:after="0"/>
              <w:rPr>
                <w:sz w:val="11"/>
                <w:szCs w:val="11"/>
                <w:color w:val="auto"/>
              </w:rPr>
            </w:pPr>
          </w:p>
        </w:tc>
        <w:tc>
          <w:tcPr>
            <w:tcW w:w="118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December 31,</w:t>
            </w:r>
          </w:p>
        </w:tc>
        <w:tc>
          <w:tcPr>
            <w:tcW w:w="600" w:type="dxa"/>
            <w:vAlign w:val="bottom"/>
          </w:tcPr>
          <w:p>
            <w:pPr>
              <w:spacing w:after="0"/>
              <w:rPr>
                <w:sz w:val="11"/>
                <w:szCs w:val="11"/>
                <w:color w:val="auto"/>
              </w:rPr>
            </w:pPr>
          </w:p>
        </w:tc>
        <w:tc>
          <w:tcPr>
            <w:tcW w:w="62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w w:val="86"/>
              </w:rPr>
              <w:t>January 1,</w:t>
            </w:r>
          </w:p>
        </w:tc>
        <w:tc>
          <w:tcPr>
            <w:tcW w:w="940" w:type="dxa"/>
            <w:vAlign w:val="bottom"/>
          </w:tcPr>
          <w:p>
            <w:pPr>
              <w:spacing w:after="0"/>
              <w:rPr>
                <w:sz w:val="11"/>
                <w:szCs w:val="11"/>
                <w:color w:val="auto"/>
              </w:rPr>
            </w:pPr>
          </w:p>
        </w:tc>
        <w:tc>
          <w:tcPr>
            <w:tcW w:w="136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48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80"/>
              <w:spacing w:after="0"/>
              <w:rPr>
                <w:sz w:val="20"/>
                <w:szCs w:val="20"/>
                <w:color w:val="auto"/>
              </w:rPr>
            </w:pPr>
            <w:r>
              <w:rPr>
                <w:rFonts w:ascii="Arial" w:cs="Arial" w:eastAsia="Arial" w:hAnsi="Arial"/>
                <w:sz w:val="14"/>
                <w:szCs w:val="14"/>
                <w:b w:val="1"/>
                <w:bCs w:val="1"/>
                <w:color w:val="auto"/>
              </w:rPr>
              <w:t>2010</w:t>
            </w:r>
          </w:p>
        </w:tc>
        <w:tc>
          <w:tcPr>
            <w:tcW w:w="3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77"/>
              <w:spacing w:after="0"/>
              <w:rPr>
                <w:sz w:val="20"/>
                <w:szCs w:val="20"/>
                <w:color w:val="auto"/>
              </w:rPr>
            </w:pPr>
            <w:r>
              <w:rPr>
                <w:rFonts w:ascii="Arial" w:cs="Arial" w:eastAsia="Arial" w:hAnsi="Arial"/>
                <w:sz w:val="14"/>
                <w:szCs w:val="14"/>
                <w:b w:val="1"/>
                <w:bCs w:val="1"/>
                <w:color w:val="auto"/>
                <w:w w:val="96"/>
              </w:rPr>
              <w:t>2010</w:t>
            </w:r>
          </w:p>
        </w:tc>
        <w:tc>
          <w:tcPr>
            <w:tcW w:w="940" w:type="dxa"/>
            <w:vAlign w:val="bottom"/>
          </w:tcPr>
          <w:p>
            <w:pPr>
              <w:spacing w:after="0"/>
              <w:rPr>
                <w:sz w:val="14"/>
                <w:szCs w:val="14"/>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3"/>
              </w:rPr>
              <w:t>Increase/(Decrease)</w:t>
            </w: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8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20" w:type="dxa"/>
            <w:vAlign w:val="bottom"/>
            <w:gridSpan w:val="3"/>
          </w:tcPr>
          <w:p>
            <w:pPr>
              <w:jc w:val="right"/>
              <w:spacing w:after="0" w:line="142" w:lineRule="exact"/>
              <w:rPr>
                <w:sz w:val="20"/>
                <w:szCs w:val="20"/>
                <w:color w:val="auto"/>
              </w:rPr>
            </w:pPr>
            <w:r>
              <w:rPr>
                <w:rFonts w:ascii="Arial" w:cs="Arial" w:eastAsia="Arial" w:hAnsi="Arial"/>
                <w:sz w:val="14"/>
                <w:szCs w:val="14"/>
                <w:b w:val="1"/>
                <w:bCs w:val="1"/>
                <w:color w:val="auto"/>
                <w:w w:val="95"/>
              </w:rPr>
              <w:t>(In millions, except</w:t>
            </w:r>
          </w:p>
        </w:tc>
        <w:tc>
          <w:tcPr>
            <w:tcW w:w="940" w:type="dxa"/>
            <w:vAlign w:val="bottom"/>
          </w:tcPr>
          <w:p>
            <w:pPr>
              <w:jc w:val="right"/>
              <w:ind w:right="112"/>
              <w:spacing w:after="0" w:line="142" w:lineRule="exact"/>
              <w:rPr>
                <w:sz w:val="20"/>
                <w:szCs w:val="20"/>
                <w:color w:val="auto"/>
              </w:rPr>
            </w:pPr>
            <w:r>
              <w:rPr>
                <w:rFonts w:ascii="Arial" w:cs="Arial" w:eastAsia="Arial" w:hAnsi="Arial"/>
                <w:sz w:val="14"/>
                <w:szCs w:val="14"/>
                <w:b w:val="1"/>
                <w:bCs w:val="1"/>
                <w:color w:val="auto"/>
                <w:w w:val="84"/>
              </w:rPr>
              <w:t>percentages)</w:t>
            </w:r>
          </w:p>
        </w:tc>
        <w:tc>
          <w:tcPr>
            <w:tcW w:w="1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b w:val="1"/>
                <w:bCs w:val="1"/>
                <w:color w:val="auto"/>
              </w:rPr>
              <w:t>83.8</w:t>
            </w:r>
          </w:p>
        </w:tc>
        <w:tc>
          <w:tcPr>
            <w:tcW w:w="740" w:type="dxa"/>
            <w:vAlign w:val="bottom"/>
            <w:gridSpan w:val="2"/>
            <w:shd w:val="clear" w:color="auto" w:fill="CCEEFF"/>
          </w:tcPr>
          <w:p>
            <w:pPr>
              <w:ind w:left="600"/>
              <w:spacing w:after="0"/>
              <w:rPr>
                <w:sz w:val="20"/>
                <w:szCs w:val="20"/>
                <w:color w:val="auto"/>
              </w:rPr>
            </w:pPr>
            <w:r>
              <w:rPr>
                <w:rFonts w:ascii="Arial" w:cs="Arial" w:eastAsia="Arial" w:hAnsi="Arial"/>
                <w:sz w:val="18"/>
                <w:szCs w:val="18"/>
                <w:b w:val="1"/>
                <w:bCs w:val="1"/>
                <w:color w:val="auto"/>
              </w:rPr>
              <w:t>$</w:t>
            </w:r>
          </w:p>
        </w:tc>
        <w:tc>
          <w:tcPr>
            <w:tcW w:w="1420" w:type="dxa"/>
            <w:vAlign w:val="bottom"/>
            <w:gridSpan w:val="2"/>
            <w:shd w:val="clear" w:color="auto" w:fill="CCEEFF"/>
          </w:tcPr>
          <w:p>
            <w:pPr>
              <w:jc w:val="right"/>
              <w:ind w:right="872"/>
              <w:spacing w:after="0"/>
              <w:rPr>
                <w:sz w:val="20"/>
                <w:szCs w:val="20"/>
                <w:color w:val="auto"/>
              </w:rPr>
            </w:pPr>
            <w:r>
              <w:rPr>
                <w:rFonts w:ascii="Arial" w:cs="Arial" w:eastAsia="Arial" w:hAnsi="Arial"/>
                <w:sz w:val="18"/>
                <w:szCs w:val="18"/>
                <w:b w:val="1"/>
                <w:bCs w:val="1"/>
                <w:color w:val="auto"/>
              </w:rPr>
              <w:t>73.2</w:t>
            </w:r>
          </w:p>
        </w:tc>
        <w:tc>
          <w:tcPr>
            <w:tcW w:w="1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14.5%</w:t>
            </w:r>
          </w:p>
        </w:tc>
        <w:tc>
          <w:tcPr>
            <w:tcW w:w="0" w:type="dxa"/>
            <w:vAlign w:val="bottom"/>
          </w:tcPr>
          <w:p>
            <w:pPr>
              <w:spacing w:after="0"/>
              <w:rPr>
                <w:sz w:val="1"/>
                <w:szCs w:val="1"/>
                <w:color w:val="auto"/>
              </w:rPr>
            </w:pPr>
          </w:p>
        </w:tc>
      </w:tr>
      <w:tr>
        <w:trPr>
          <w:trHeight w:val="216"/>
        </w:trPr>
        <w:tc>
          <w:tcPr>
            <w:tcW w:w="4880" w:type="dxa"/>
            <w:vAlign w:val="bottom"/>
          </w:tcPr>
          <w:p>
            <w:pPr>
              <w:spacing w:after="0"/>
              <w:rPr>
                <w:sz w:val="20"/>
                <w:szCs w:val="20"/>
                <w:color w:val="auto"/>
              </w:rPr>
            </w:pPr>
            <w:r>
              <w:rPr>
                <w:rFonts w:ascii="Arial" w:cs="Arial" w:eastAsia="Arial" w:hAnsi="Arial"/>
                <w:sz w:val="18"/>
                <w:szCs w:val="18"/>
                <w:color w:val="auto"/>
              </w:rPr>
              <w:t>Segment operating income (loss)</w:t>
            </w:r>
          </w:p>
        </w:tc>
        <w:tc>
          <w:tcPr>
            <w:tcW w:w="180" w:type="dxa"/>
            <w:vAlign w:val="bottom"/>
          </w:tcPr>
          <w:p>
            <w:pPr>
              <w:spacing w:after="0"/>
              <w:rPr>
                <w:sz w:val="20"/>
                <w:szCs w:val="20"/>
                <w:color w:val="auto"/>
              </w:rPr>
            </w:pPr>
            <w:r>
              <w:rPr>
                <w:rFonts w:ascii="Arial" w:cs="Arial" w:eastAsia="Arial" w:hAnsi="Arial"/>
                <w:sz w:val="18"/>
                <w:szCs w:val="18"/>
                <w:b w:val="1"/>
                <w:bCs w:val="1"/>
                <w:color w:val="auto"/>
              </w:rPr>
              <w:t>$</w:t>
            </w:r>
          </w:p>
        </w:tc>
        <w:tc>
          <w:tcPr>
            <w:tcW w:w="100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(5.2)</w:t>
            </w:r>
          </w:p>
        </w:tc>
        <w:tc>
          <w:tcPr>
            <w:tcW w:w="740" w:type="dxa"/>
            <w:vAlign w:val="bottom"/>
            <w:gridSpan w:val="2"/>
          </w:tcPr>
          <w:p>
            <w:pPr>
              <w:ind w:left="600"/>
              <w:spacing w:after="0"/>
              <w:rPr>
                <w:sz w:val="20"/>
                <w:szCs w:val="20"/>
                <w:color w:val="auto"/>
              </w:rPr>
            </w:pPr>
            <w:r>
              <w:rPr>
                <w:rFonts w:ascii="Arial" w:cs="Arial" w:eastAsia="Arial" w:hAnsi="Arial"/>
                <w:sz w:val="18"/>
                <w:szCs w:val="18"/>
                <w:b w:val="1"/>
                <w:bCs w:val="1"/>
                <w:color w:val="auto"/>
              </w:rPr>
              <w:t>$</w:t>
            </w:r>
          </w:p>
        </w:tc>
        <w:tc>
          <w:tcPr>
            <w:tcW w:w="1420" w:type="dxa"/>
            <w:vAlign w:val="bottom"/>
            <w:gridSpan w:val="2"/>
          </w:tcPr>
          <w:p>
            <w:pPr>
              <w:jc w:val="right"/>
              <w:ind w:right="872"/>
              <w:spacing w:after="0"/>
              <w:rPr>
                <w:sz w:val="20"/>
                <w:szCs w:val="20"/>
                <w:color w:val="auto"/>
              </w:rPr>
            </w:pPr>
            <w:r>
              <w:rPr>
                <w:rFonts w:ascii="Arial" w:cs="Arial" w:eastAsia="Arial" w:hAnsi="Arial"/>
                <w:sz w:val="18"/>
                <w:szCs w:val="18"/>
                <w:b w:val="1"/>
                <w:bCs w:val="1"/>
                <w:color w:val="auto"/>
              </w:rPr>
              <w:t>3.4</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N/M</w:t>
            </w:r>
          </w:p>
        </w:tc>
        <w:tc>
          <w:tcPr>
            <w:tcW w:w="0" w:type="dxa"/>
            <w:vAlign w:val="bottom"/>
          </w:tcPr>
          <w:p>
            <w:pPr>
              <w:spacing w:after="0"/>
              <w:rPr>
                <w:sz w:val="1"/>
                <w:szCs w:val="1"/>
                <w:color w:val="auto"/>
              </w:rPr>
            </w:pPr>
          </w:p>
        </w:tc>
      </w:tr>
      <w:tr>
        <w:trPr>
          <w:trHeight w:val="216"/>
        </w:trPr>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 of revenue</w:t>
            </w: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(6.2)%</w:t>
            </w: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92"/>
              <w:spacing w:after="0"/>
              <w:rPr>
                <w:sz w:val="20"/>
                <w:szCs w:val="20"/>
                <w:color w:val="auto"/>
              </w:rPr>
            </w:pPr>
            <w:r>
              <w:rPr>
                <w:rFonts w:ascii="Arial" w:cs="Arial" w:eastAsia="Arial" w:hAnsi="Arial"/>
                <w:sz w:val="18"/>
                <w:szCs w:val="18"/>
                <w:b w:val="1"/>
                <w:bCs w:val="1"/>
                <w:color w:val="auto"/>
              </w:rPr>
              <w:t>4.6%</w:t>
            </w: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color w:val="auto"/>
        </w:rPr>
        <w:t>N/M = Not statistically meaningful</w:t>
      </w:r>
    </w:p>
    <w:p>
      <w:pPr>
        <w:spacing w:after="0" w:line="171"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The increase of our international revenue in the second quarter of fiscal 2011 compared with the same quarter in fiscal 2010 resulted from significant increases in Africa and EMER, where increased orders for the current product platform were delivered in the second quarter of fiscal 2011. The substantial year to year increase in Africa came from a wireless customer who resumed purchasing after substantially reducing its orders in the prior year. In addition, certain other customers in the region increased spending during the fourth quarter of the calendar year. We expect continued demand for our products and services in Africa during our third fiscal quarter. Revenue in the second quarter of fiscal 2010 included a substantial amount of purchases from a customer in the Middle East that was not repeated in fiscal 2011. However, wireless customers in Russia that had reduced their capital spending sharply in calendar 2009 and early 2010 in response to the tightening in credit markets, increased spending allowing us to benefit from their incremental business in the second quarter of fiscal 2011. Competitive pricing pressures in Russia continue to impact the business so future order levels may vary significantly. Finally, in the Asia Pacific region, the product mix varied from the second quarter of fiscal 2011 as compared with the same quarter in fiscal 2010. In the second quarter of fiscal 2011, revenue from shipments of WiMAX product substantially increased in the region, mostly in India, while microwave business in other countries was flat or down compared to the previous year.</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459"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Gross margin for the International segment in the second quarter of fiscal 2010 was substantially enhanced by favorable pricing with certain customers in the Middle East, which was not repeated in the same period of fiscal 2011.</w:t>
      </w:r>
    </w:p>
    <w:p>
      <w:pPr>
        <w:spacing w:after="0" w:line="132"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International segment operating loss for the second quarter fiscal 2011 included $1.3 million for restructuring charges and $0.3 million for share-based compensation.</w:t>
      </w:r>
    </w:p>
    <w:p>
      <w:pPr>
        <w:spacing w:after="0" w:line="132"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The International segment operating income for the second quarter fiscal 2010 resulted primarily from the decline in revenue when compared with levels prior to fiscal 2010 without a corresponding decrease in cost structure and included $0.8 million of restructuring charges and $0.1 million for share-based compensation.</w:t>
      </w:r>
    </w:p>
    <w:p>
      <w:pPr>
        <w:spacing w:after="0" w:line="215" w:lineRule="exact"/>
        <w:rPr>
          <w:sz w:val="20"/>
          <w:szCs w:val="20"/>
          <w:color w:val="auto"/>
        </w:rPr>
      </w:pPr>
    </w:p>
    <w:p>
      <w:pPr>
        <w:ind w:right="1840"/>
        <w:spacing w:after="0" w:line="347" w:lineRule="auto"/>
        <w:rPr>
          <w:sz w:val="20"/>
          <w:szCs w:val="20"/>
          <w:color w:val="auto"/>
        </w:rPr>
      </w:pPr>
      <w:r>
        <w:rPr>
          <w:rFonts w:ascii="Arial" w:cs="Arial" w:eastAsia="Arial" w:hAnsi="Arial"/>
          <w:sz w:val="18"/>
          <w:szCs w:val="18"/>
          <w:b w:val="1"/>
          <w:bCs w:val="1"/>
          <w:color w:val="auto"/>
        </w:rPr>
        <w:t>RESULTS OF OPERATIONS – Two Quarters Ended December 31, 2010 compared with Two Quarters Ended January 1, 2010 Highlights</w:t>
      </w:r>
    </w:p>
    <w:p>
      <w:pPr>
        <w:spacing w:after="0" w:line="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Operations results for the first two quarters of fiscal 2011 include:</w:t>
      </w:r>
    </w:p>
    <w:p>
      <w:pPr>
        <w:spacing w:after="0" w:line="90" w:lineRule="exact"/>
        <w:rPr>
          <w:sz w:val="20"/>
          <w:szCs w:val="20"/>
          <w:color w:val="auto"/>
        </w:rPr>
      </w:pPr>
    </w:p>
    <w:p>
      <w:pPr>
        <w:ind w:left="900" w:right="200" w:hanging="446"/>
        <w:spacing w:after="0" w:line="268" w:lineRule="auto"/>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Net loss was $33.8 million, or $0.58 per common share, in the first two quarters of fiscal 2011 compared with a net loss of $15.7 million, or $0.27 per common share, in the first two quarters of fiscal 2010;</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10"/>
        </w:numPr>
        <w:rPr>
          <w:rFonts w:ascii="Arial" w:cs="Arial" w:eastAsia="Arial" w:hAnsi="Arial"/>
          <w:sz w:val="16"/>
          <w:szCs w:val="16"/>
          <w:color w:val="auto"/>
        </w:rPr>
      </w:pPr>
      <w:r>
        <w:rPr>
          <w:rFonts w:ascii="Arial" w:cs="Arial" w:eastAsia="Arial" w:hAnsi="Arial"/>
          <w:sz w:val="16"/>
          <w:szCs w:val="16"/>
          <w:color w:val="auto"/>
        </w:rPr>
        <w:t>Revenue decreased 3.8 percent to $233.3 million in the first two quarters of fiscal 2011 from $242.6 million in the first two quarters of fiscal 2010;</w:t>
      </w:r>
    </w:p>
    <w:p>
      <w:pPr>
        <w:spacing w:after="0" w:line="113" w:lineRule="exact"/>
        <w:rPr>
          <w:rFonts w:ascii="Arial" w:cs="Arial" w:eastAsia="Arial" w:hAnsi="Arial"/>
          <w:sz w:val="16"/>
          <w:szCs w:val="16"/>
          <w:color w:val="auto"/>
        </w:rPr>
      </w:pPr>
    </w:p>
    <w:p>
      <w:pPr>
        <w:ind w:left="900" w:right="220" w:hanging="446"/>
        <w:spacing w:after="0" w:line="332" w:lineRule="auto"/>
        <w:tabs>
          <w:tab w:leader="none" w:pos="900" w:val="left"/>
        </w:tabs>
        <w:numPr>
          <w:ilvl w:val="0"/>
          <w:numId w:val="10"/>
        </w:numPr>
        <w:rPr>
          <w:rFonts w:ascii="Arial" w:cs="Arial" w:eastAsia="Arial" w:hAnsi="Arial"/>
          <w:sz w:val="16"/>
          <w:szCs w:val="16"/>
          <w:color w:val="auto"/>
        </w:rPr>
      </w:pPr>
      <w:r>
        <w:rPr>
          <w:rFonts w:ascii="Arial" w:cs="Arial" w:eastAsia="Arial" w:hAnsi="Arial"/>
          <w:sz w:val="16"/>
          <w:szCs w:val="16"/>
          <w:color w:val="auto"/>
        </w:rPr>
        <w:t>Our North America segment revenue decreased 21.9 percent to $76.1 million and the segment recorded operating loss of $14.7 million in the first two quarters of fiscal 2011 compared with an operating loss of $12.8 million in the first two quarters of fiscal 2010;</w:t>
      </w:r>
    </w:p>
    <w:p>
      <w:pPr>
        <w:spacing w:after="0" w:line="4" w:lineRule="exact"/>
        <w:rPr>
          <w:rFonts w:ascii="Arial" w:cs="Arial" w:eastAsia="Arial" w:hAnsi="Arial"/>
          <w:sz w:val="16"/>
          <w:szCs w:val="16"/>
          <w:color w:val="auto"/>
        </w:rPr>
      </w:pPr>
    </w:p>
    <w:p>
      <w:pPr>
        <w:ind w:left="900" w:right="200" w:hanging="446"/>
        <w:spacing w:after="0" w:line="332" w:lineRule="auto"/>
        <w:tabs>
          <w:tab w:leader="none" w:pos="900" w:val="left"/>
        </w:tabs>
        <w:numPr>
          <w:ilvl w:val="0"/>
          <w:numId w:val="10"/>
        </w:numPr>
        <w:rPr>
          <w:rFonts w:ascii="Arial" w:cs="Arial" w:eastAsia="Arial" w:hAnsi="Arial"/>
          <w:sz w:val="16"/>
          <w:szCs w:val="16"/>
          <w:color w:val="auto"/>
        </w:rPr>
      </w:pPr>
      <w:r>
        <w:rPr>
          <w:rFonts w:ascii="Arial" w:cs="Arial" w:eastAsia="Arial" w:hAnsi="Arial"/>
          <w:sz w:val="16"/>
          <w:szCs w:val="16"/>
          <w:color w:val="auto"/>
        </w:rPr>
        <w:t>Our International segment revenue increased 8.3 percent to $157.2 million and the segment recorded an operating loss of $18.1 million in the first two quarters of fiscal 2011 compared with operating income of $0.2 million in the first two quarters of fiscal 2010;</w:t>
      </w:r>
    </w:p>
    <w:p>
      <w:pPr>
        <w:spacing w:after="0" w:line="4" w:lineRule="exact"/>
        <w:rPr>
          <w:rFonts w:ascii="Arial" w:cs="Arial" w:eastAsia="Arial" w:hAnsi="Arial"/>
          <w:sz w:val="16"/>
          <w:szCs w:val="16"/>
          <w:color w:val="auto"/>
        </w:rPr>
      </w:pPr>
    </w:p>
    <w:p>
      <w:pPr>
        <w:ind w:left="900" w:right="20" w:hanging="446"/>
        <w:spacing w:after="0" w:line="268" w:lineRule="auto"/>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Net cash used in operating activities was $40.5 million in the first two quarters of fiscal 2011 compared with net cash provided by operations of $3.9 million in the first two quarters of fiscal 2010.</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Discussion of Consolidated Results of Operations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and Net Loss</w:t>
      </w:r>
    </w:p>
    <w:p>
      <w:pPr>
        <w:spacing w:after="0" w:line="207"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47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gridSpan w:val="4"/>
          </w:tcPr>
          <w:p>
            <w:pPr>
              <w:ind w:left="420"/>
              <w:spacing w:after="0"/>
              <w:rPr>
                <w:sz w:val="20"/>
                <w:szCs w:val="20"/>
                <w:color w:val="auto"/>
              </w:rPr>
            </w:pPr>
            <w:r>
              <w:rPr>
                <w:rFonts w:ascii="Arial" w:cs="Arial" w:eastAsia="Arial" w:hAnsi="Arial"/>
                <w:sz w:val="14"/>
                <w:szCs w:val="14"/>
                <w:b w:val="1"/>
                <w:bCs w:val="1"/>
                <w:color w:val="auto"/>
                <w:w w:val="94"/>
              </w:rPr>
              <w:t>Two Quarters Ended</w:t>
            </w:r>
          </w:p>
        </w:tc>
        <w:tc>
          <w:tcPr>
            <w:tcW w:w="500" w:type="dxa"/>
            <w:vAlign w:val="bottom"/>
            <w:tcBorders>
              <w:bottom w:val="single" w:sz="8" w:color="auto"/>
            </w:tcBorders>
          </w:tcPr>
          <w:p>
            <w:pPr>
              <w:spacing w:after="0"/>
              <w:rPr>
                <w:sz w:val="14"/>
                <w:szCs w:val="14"/>
                <w:color w:val="auto"/>
              </w:rPr>
            </w:pPr>
          </w:p>
        </w:tc>
        <w:tc>
          <w:tcPr>
            <w:tcW w:w="980" w:type="dxa"/>
            <w:vAlign w:val="bottom"/>
          </w:tcPr>
          <w:p>
            <w:pPr>
              <w:spacing w:after="0"/>
              <w:rPr>
                <w:sz w:val="14"/>
                <w:szCs w:val="14"/>
                <w:color w:val="auto"/>
              </w:rPr>
            </w:pPr>
          </w:p>
        </w:tc>
        <w:tc>
          <w:tcPr>
            <w:tcW w:w="142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82"/>
              </w:rPr>
              <w:t>Percentage</w:t>
            </w:r>
          </w:p>
        </w:tc>
        <w:tc>
          <w:tcPr>
            <w:tcW w:w="0" w:type="dxa"/>
            <w:vAlign w:val="bottom"/>
          </w:tcPr>
          <w:p>
            <w:pPr>
              <w:spacing w:after="0"/>
              <w:rPr>
                <w:sz w:val="1"/>
                <w:szCs w:val="1"/>
                <w:color w:val="auto"/>
              </w:rPr>
            </w:pPr>
          </w:p>
        </w:tc>
      </w:tr>
      <w:tr>
        <w:trPr>
          <w:trHeight w:val="129"/>
        </w:trPr>
        <w:tc>
          <w:tcPr>
            <w:tcW w:w="4780" w:type="dxa"/>
            <w:vAlign w:val="bottom"/>
          </w:tcPr>
          <w:p>
            <w:pPr>
              <w:spacing w:after="0"/>
              <w:rPr>
                <w:sz w:val="11"/>
                <w:szCs w:val="11"/>
                <w:color w:val="auto"/>
              </w:rPr>
            </w:pPr>
          </w:p>
        </w:tc>
        <w:tc>
          <w:tcPr>
            <w:tcW w:w="118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December 31,</w:t>
            </w:r>
          </w:p>
        </w:tc>
        <w:tc>
          <w:tcPr>
            <w:tcW w:w="600" w:type="dxa"/>
            <w:vAlign w:val="bottom"/>
          </w:tcPr>
          <w:p>
            <w:pPr>
              <w:spacing w:after="0"/>
              <w:rPr>
                <w:sz w:val="11"/>
                <w:szCs w:val="11"/>
                <w:color w:val="auto"/>
              </w:rPr>
            </w:pPr>
          </w:p>
        </w:tc>
        <w:tc>
          <w:tcPr>
            <w:tcW w:w="62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w w:val="86"/>
              </w:rPr>
              <w:t>January 1,</w:t>
            </w:r>
          </w:p>
        </w:tc>
        <w:tc>
          <w:tcPr>
            <w:tcW w:w="980" w:type="dxa"/>
            <w:vAlign w:val="bottom"/>
          </w:tcPr>
          <w:p>
            <w:pPr>
              <w:spacing w:after="0"/>
              <w:rPr>
                <w:sz w:val="11"/>
                <w:szCs w:val="11"/>
                <w:color w:val="auto"/>
              </w:rPr>
            </w:pPr>
          </w:p>
        </w:tc>
        <w:tc>
          <w:tcPr>
            <w:tcW w:w="142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47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200"/>
              <w:spacing w:after="0"/>
              <w:rPr>
                <w:sz w:val="20"/>
                <w:szCs w:val="20"/>
                <w:color w:val="auto"/>
              </w:rPr>
            </w:pPr>
            <w:r>
              <w:rPr>
                <w:rFonts w:ascii="Arial" w:cs="Arial" w:eastAsia="Arial" w:hAnsi="Arial"/>
                <w:sz w:val="14"/>
                <w:szCs w:val="14"/>
                <w:b w:val="1"/>
                <w:bCs w:val="1"/>
                <w:color w:val="auto"/>
              </w:rPr>
              <w:t>2010</w:t>
            </w:r>
          </w:p>
        </w:tc>
        <w:tc>
          <w:tcPr>
            <w:tcW w:w="3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97"/>
              <w:spacing w:after="0"/>
              <w:rPr>
                <w:sz w:val="20"/>
                <w:szCs w:val="20"/>
                <w:color w:val="auto"/>
              </w:rPr>
            </w:pPr>
            <w:r>
              <w:rPr>
                <w:rFonts w:ascii="Arial" w:cs="Arial" w:eastAsia="Arial" w:hAnsi="Arial"/>
                <w:sz w:val="14"/>
                <w:szCs w:val="14"/>
                <w:b w:val="1"/>
                <w:bCs w:val="1"/>
                <w:color w:val="auto"/>
                <w:w w:val="96"/>
              </w:rPr>
              <w:t>2010</w:t>
            </w:r>
          </w:p>
        </w:tc>
        <w:tc>
          <w:tcPr>
            <w:tcW w:w="980" w:type="dxa"/>
            <w:vAlign w:val="bottom"/>
          </w:tcPr>
          <w:p>
            <w:pPr>
              <w:spacing w:after="0"/>
              <w:rPr>
                <w:sz w:val="14"/>
                <w:szCs w:val="14"/>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6"/>
              </w:rPr>
              <w:t>Increase/(Decrease)</w:t>
            </w: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20" w:type="dxa"/>
            <w:vAlign w:val="bottom"/>
            <w:gridSpan w:val="3"/>
          </w:tcPr>
          <w:p>
            <w:pPr>
              <w:ind w:left="140"/>
              <w:spacing w:after="0" w:line="142" w:lineRule="exact"/>
              <w:rPr>
                <w:sz w:val="20"/>
                <w:szCs w:val="20"/>
                <w:color w:val="auto"/>
              </w:rPr>
            </w:pPr>
            <w:r>
              <w:rPr>
                <w:rFonts w:ascii="Arial" w:cs="Arial" w:eastAsia="Arial" w:hAnsi="Arial"/>
                <w:sz w:val="14"/>
                <w:szCs w:val="14"/>
                <w:b w:val="1"/>
                <w:bCs w:val="1"/>
                <w:color w:val="auto"/>
                <w:w w:val="84"/>
              </w:rPr>
              <w:t>(In millions, except</w:t>
            </w:r>
          </w:p>
        </w:tc>
        <w:tc>
          <w:tcPr>
            <w:tcW w:w="980" w:type="dxa"/>
            <w:vAlign w:val="bottom"/>
          </w:tcPr>
          <w:p>
            <w:pPr>
              <w:jc w:val="right"/>
              <w:ind w:right="132"/>
              <w:spacing w:after="0" w:line="142" w:lineRule="exact"/>
              <w:rPr>
                <w:sz w:val="20"/>
                <w:szCs w:val="20"/>
                <w:color w:val="auto"/>
              </w:rPr>
            </w:pPr>
            <w:r>
              <w:rPr>
                <w:rFonts w:ascii="Arial" w:cs="Arial" w:eastAsia="Arial" w:hAnsi="Arial"/>
                <w:sz w:val="14"/>
                <w:szCs w:val="14"/>
                <w:b w:val="1"/>
                <w:bCs w:val="1"/>
                <w:color w:val="auto"/>
                <w:w w:val="87"/>
              </w:rPr>
              <w:t>percentages)</w:t>
            </w:r>
          </w:p>
        </w:tc>
        <w:tc>
          <w:tcPr>
            <w:tcW w:w="1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10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b w:val="1"/>
                <w:bCs w:val="1"/>
                <w:color w:val="auto"/>
              </w:rPr>
              <w:t>233.3</w:t>
            </w:r>
          </w:p>
        </w:tc>
        <w:tc>
          <w:tcPr>
            <w:tcW w:w="720" w:type="dxa"/>
            <w:vAlign w:val="bottom"/>
            <w:gridSpan w:val="2"/>
            <w:shd w:val="clear" w:color="auto" w:fill="CCEEFF"/>
          </w:tcPr>
          <w:p>
            <w:pPr>
              <w:ind w:left="600"/>
              <w:spacing w:after="0"/>
              <w:rPr>
                <w:sz w:val="20"/>
                <w:szCs w:val="20"/>
                <w:color w:val="auto"/>
              </w:rPr>
            </w:pPr>
            <w:r>
              <w:rPr>
                <w:rFonts w:ascii="Arial" w:cs="Arial" w:eastAsia="Arial" w:hAnsi="Arial"/>
                <w:sz w:val="18"/>
                <w:szCs w:val="18"/>
                <w:b w:val="1"/>
                <w:bCs w:val="1"/>
                <w:color w:val="auto"/>
                <w:w w:val="9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242.6</w:t>
            </w:r>
          </w:p>
        </w:tc>
        <w:tc>
          <w:tcPr>
            <w:tcW w:w="9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(3.8)%</w:t>
            </w:r>
          </w:p>
        </w:tc>
        <w:tc>
          <w:tcPr>
            <w:tcW w:w="0" w:type="dxa"/>
            <w:vAlign w:val="bottom"/>
          </w:tcPr>
          <w:p>
            <w:pPr>
              <w:spacing w:after="0"/>
              <w:rPr>
                <w:sz w:val="1"/>
                <w:szCs w:val="1"/>
                <w:color w:val="auto"/>
              </w:rPr>
            </w:pPr>
          </w:p>
        </w:tc>
      </w:tr>
      <w:tr>
        <w:trPr>
          <w:trHeight w:val="216"/>
        </w:trPr>
        <w:tc>
          <w:tcPr>
            <w:tcW w:w="4780" w:type="dxa"/>
            <w:vAlign w:val="bottom"/>
          </w:tcPr>
          <w:p>
            <w:pPr>
              <w:spacing w:after="0"/>
              <w:rPr>
                <w:sz w:val="20"/>
                <w:szCs w:val="20"/>
                <w:color w:val="auto"/>
              </w:rPr>
            </w:pPr>
            <w:r>
              <w:rPr>
                <w:rFonts w:ascii="Arial" w:cs="Arial" w:eastAsia="Arial" w:hAnsi="Arial"/>
                <w:sz w:val="18"/>
                <w:szCs w:val="18"/>
                <w:color w:val="auto"/>
              </w:rPr>
              <w:t>Net loss</w:t>
            </w:r>
          </w:p>
        </w:tc>
        <w:tc>
          <w:tcPr>
            <w:tcW w:w="160" w:type="dxa"/>
            <w:vAlign w:val="bottom"/>
          </w:tcPr>
          <w:p>
            <w:pPr>
              <w:spacing w:after="0"/>
              <w:rPr>
                <w:sz w:val="20"/>
                <w:szCs w:val="20"/>
                <w:color w:val="auto"/>
              </w:rPr>
            </w:pPr>
            <w:r>
              <w:rPr>
                <w:rFonts w:ascii="Arial" w:cs="Arial" w:eastAsia="Arial" w:hAnsi="Arial"/>
                <w:sz w:val="18"/>
                <w:szCs w:val="18"/>
                <w:b w:val="1"/>
                <w:bCs w:val="1"/>
                <w:color w:val="auto"/>
              </w:rPr>
              <w:t>$</w:t>
            </w:r>
          </w:p>
        </w:tc>
        <w:tc>
          <w:tcPr>
            <w:tcW w:w="102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(33.8)</w:t>
            </w:r>
          </w:p>
        </w:tc>
        <w:tc>
          <w:tcPr>
            <w:tcW w:w="720" w:type="dxa"/>
            <w:vAlign w:val="bottom"/>
            <w:gridSpan w:val="2"/>
          </w:tcPr>
          <w:p>
            <w:pPr>
              <w:ind w:left="600"/>
              <w:spacing w:after="0"/>
              <w:rPr>
                <w:sz w:val="20"/>
                <w:szCs w:val="20"/>
                <w:color w:val="auto"/>
              </w:rPr>
            </w:pPr>
            <w:r>
              <w:rPr>
                <w:rFonts w:ascii="Arial" w:cs="Arial" w:eastAsia="Arial" w:hAnsi="Arial"/>
                <w:sz w:val="18"/>
                <w:szCs w:val="18"/>
                <w:b w:val="1"/>
                <w:bCs w:val="1"/>
                <w:color w:val="auto"/>
                <w:w w:val="99"/>
              </w:rPr>
              <w:t>$</w:t>
            </w:r>
          </w:p>
        </w:tc>
        <w:tc>
          <w:tcPr>
            <w:tcW w:w="1480" w:type="dxa"/>
            <w:vAlign w:val="bottom"/>
            <w:gridSpan w:val="2"/>
          </w:tcPr>
          <w:p>
            <w:pPr>
              <w:jc w:val="right"/>
              <w:ind w:right="852"/>
              <w:spacing w:after="0"/>
              <w:rPr>
                <w:sz w:val="20"/>
                <w:szCs w:val="20"/>
                <w:color w:val="auto"/>
              </w:rPr>
            </w:pPr>
            <w:r>
              <w:rPr>
                <w:rFonts w:ascii="Arial" w:cs="Arial" w:eastAsia="Arial" w:hAnsi="Arial"/>
                <w:sz w:val="18"/>
                <w:szCs w:val="18"/>
                <w:b w:val="1"/>
                <w:bCs w:val="1"/>
                <w:color w:val="auto"/>
              </w:rPr>
              <w:t>(15.7)</w:t>
            </w:r>
          </w:p>
        </w:tc>
        <w:tc>
          <w:tcPr>
            <w:tcW w:w="14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115.3%</w:t>
            </w:r>
          </w:p>
        </w:tc>
        <w:tc>
          <w:tcPr>
            <w:tcW w:w="0" w:type="dxa"/>
            <w:vAlign w:val="bottom"/>
          </w:tcPr>
          <w:p>
            <w:pPr>
              <w:spacing w:after="0"/>
              <w:rPr>
                <w:sz w:val="1"/>
                <w:szCs w:val="1"/>
                <w:color w:val="auto"/>
              </w:rPr>
            </w:pPr>
          </w:p>
        </w:tc>
      </w:tr>
      <w:tr>
        <w:trPr>
          <w:trHeight w:val="216"/>
        </w:trPr>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 of revenue</w:t>
            </w: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(14.5)%</w:t>
            </w: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672"/>
              <w:spacing w:after="0"/>
              <w:rPr>
                <w:sz w:val="20"/>
                <w:szCs w:val="20"/>
                <w:color w:val="auto"/>
              </w:rPr>
            </w:pPr>
            <w:r>
              <w:rPr>
                <w:rFonts w:ascii="Arial" w:cs="Arial" w:eastAsia="Arial" w:hAnsi="Arial"/>
                <w:sz w:val="18"/>
                <w:szCs w:val="18"/>
                <w:b w:val="1"/>
                <w:bCs w:val="1"/>
                <w:color w:val="auto"/>
              </w:rPr>
              <w:t>(6.5)%</w:t>
            </w:r>
          </w:p>
        </w:tc>
        <w:tc>
          <w:tcPr>
            <w:tcW w:w="1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54"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Revenue by region comparing the first two quarters of fiscal 2011 with the first two quarters of fiscal 2010 and the related changes are shown in the table below:</w:t>
      </w:r>
    </w:p>
    <w:p>
      <w:pPr>
        <w:spacing w:after="0" w:line="168"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3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gridSpan w:val="4"/>
          </w:tcPr>
          <w:p>
            <w:pPr>
              <w:ind w:left="280"/>
              <w:spacing w:after="0"/>
              <w:rPr>
                <w:sz w:val="20"/>
                <w:szCs w:val="20"/>
                <w:color w:val="auto"/>
              </w:rPr>
            </w:pPr>
            <w:r>
              <w:rPr>
                <w:rFonts w:ascii="Arial" w:cs="Arial" w:eastAsia="Arial" w:hAnsi="Arial"/>
                <w:sz w:val="14"/>
                <w:szCs w:val="14"/>
                <w:b w:val="1"/>
                <w:bCs w:val="1"/>
                <w:color w:val="auto"/>
                <w:w w:val="87"/>
              </w:rPr>
              <w:t>Two Quarters Ended</w:t>
            </w:r>
          </w:p>
        </w:tc>
        <w:tc>
          <w:tcPr>
            <w:tcW w:w="460" w:type="dxa"/>
            <w:vAlign w:val="bottom"/>
            <w:tcBorders>
              <w:bottom w:val="single" w:sz="8" w:color="auto"/>
            </w:tcBorders>
          </w:tcPr>
          <w:p>
            <w:pPr>
              <w:spacing w:after="0"/>
              <w:rPr>
                <w:sz w:val="14"/>
                <w:szCs w:val="14"/>
                <w:color w:val="auto"/>
              </w:rPr>
            </w:pP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40" w:type="dxa"/>
            <w:vAlign w:val="bottom"/>
            <w:gridSpan w:val="2"/>
            <w:vMerge w:val="restart"/>
          </w:tcPr>
          <w:p>
            <w:pPr>
              <w:jc w:val="right"/>
              <w:ind w:right="1040"/>
              <w:spacing w:after="0"/>
              <w:rPr>
                <w:sz w:val="20"/>
                <w:szCs w:val="20"/>
                <w:color w:val="auto"/>
              </w:rPr>
            </w:pPr>
            <w:r>
              <w:rPr>
                <w:rFonts w:ascii="Arial" w:cs="Arial" w:eastAsia="Arial" w:hAnsi="Arial"/>
                <w:sz w:val="14"/>
                <w:szCs w:val="14"/>
                <w:b w:val="1"/>
                <w:bCs w:val="1"/>
                <w:color w:val="auto"/>
              </w:rPr>
              <w:t>Amount</w:t>
            </w:r>
          </w:p>
        </w:tc>
        <w:tc>
          <w:tcPr>
            <w:tcW w:w="1420" w:type="dxa"/>
            <w:vAlign w:val="bottom"/>
            <w:gridSpan w:val="2"/>
            <w:vMerge w:val="restart"/>
          </w:tcPr>
          <w:p>
            <w:pPr>
              <w:jc w:val="right"/>
              <w:ind w:right="540"/>
              <w:spacing w:after="0"/>
              <w:rPr>
                <w:sz w:val="20"/>
                <w:szCs w:val="20"/>
                <w:color w:val="auto"/>
              </w:rPr>
            </w:pPr>
            <w:r>
              <w:rPr>
                <w:rFonts w:ascii="Arial" w:cs="Arial" w:eastAsia="Arial" w:hAnsi="Arial"/>
                <w:sz w:val="14"/>
                <w:szCs w:val="14"/>
                <w:b w:val="1"/>
                <w:bCs w:val="1"/>
                <w:color w:val="auto"/>
              </w:rPr>
              <w:t>Percentage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360" w:type="dxa"/>
            <w:vAlign w:val="bottom"/>
          </w:tcPr>
          <w:p>
            <w:pPr>
              <w:spacing w:after="0"/>
              <w:rPr>
                <w:sz w:val="11"/>
                <w:szCs w:val="11"/>
                <w:color w:val="auto"/>
              </w:rPr>
            </w:pPr>
          </w:p>
        </w:tc>
        <w:tc>
          <w:tcPr>
            <w:tcW w:w="124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December 31,</w:t>
            </w:r>
          </w:p>
        </w:tc>
        <w:tc>
          <w:tcPr>
            <w:tcW w:w="280" w:type="dxa"/>
            <w:vAlign w:val="bottom"/>
          </w:tcPr>
          <w:p>
            <w:pPr>
              <w:spacing w:after="0"/>
              <w:rPr>
                <w:sz w:val="11"/>
                <w:szCs w:val="11"/>
                <w:color w:val="auto"/>
              </w:rPr>
            </w:pPr>
          </w:p>
        </w:tc>
        <w:tc>
          <w:tcPr>
            <w:tcW w:w="62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w w:val="86"/>
              </w:rPr>
              <w:t>January 1,</w:t>
            </w:r>
          </w:p>
        </w:tc>
        <w:tc>
          <w:tcPr>
            <w:tcW w:w="7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40" w:type="dxa"/>
            <w:vAlign w:val="bottom"/>
            <w:gridSpan w:val="2"/>
            <w:vMerge w:val="continue"/>
          </w:tcPr>
          <w:p>
            <w:pPr>
              <w:spacing w:after="0"/>
              <w:rPr>
                <w:sz w:val="11"/>
                <w:szCs w:val="11"/>
                <w:color w:val="auto"/>
              </w:rPr>
            </w:pPr>
          </w:p>
        </w:tc>
        <w:tc>
          <w:tcPr>
            <w:tcW w:w="142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jc w:val="right"/>
              <w:ind w:right="177"/>
              <w:spacing w:after="0"/>
              <w:rPr>
                <w:sz w:val="20"/>
                <w:szCs w:val="20"/>
                <w:color w:val="auto"/>
              </w:rPr>
            </w:pPr>
            <w:r>
              <w:rPr>
                <w:rFonts w:ascii="Arial" w:cs="Arial" w:eastAsia="Arial" w:hAnsi="Arial"/>
                <w:sz w:val="14"/>
                <w:szCs w:val="14"/>
                <w:b w:val="1"/>
                <w:bCs w:val="1"/>
                <w:color w:val="auto"/>
              </w:rPr>
              <w:t>2010</w:t>
            </w:r>
          </w:p>
        </w:tc>
        <w:tc>
          <w:tcPr>
            <w:tcW w:w="4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60" w:type="dxa"/>
            <w:vAlign w:val="bottom"/>
          </w:tcPr>
          <w:p>
            <w:pPr>
              <w:jc w:val="right"/>
              <w:ind w:right="97"/>
              <w:spacing w:after="0"/>
              <w:rPr>
                <w:sz w:val="20"/>
                <w:szCs w:val="20"/>
                <w:color w:val="auto"/>
              </w:rPr>
            </w:pPr>
            <w:r>
              <w:rPr>
                <w:rFonts w:ascii="Arial" w:cs="Arial" w:eastAsia="Arial" w:hAnsi="Arial"/>
                <w:sz w:val="14"/>
                <w:szCs w:val="14"/>
                <w:b w:val="1"/>
                <w:bCs w:val="1"/>
                <w:color w:val="auto"/>
                <w:w w:val="83"/>
              </w:rPr>
              <w:t>2010</w:t>
            </w:r>
          </w:p>
        </w:tc>
        <w:tc>
          <w:tcPr>
            <w:tcW w:w="720" w:type="dxa"/>
            <w:vAlign w:val="bottom"/>
          </w:tcPr>
          <w:p>
            <w:pPr>
              <w:spacing w:after="0"/>
              <w:rPr>
                <w:sz w:val="14"/>
                <w:szCs w:val="14"/>
                <w:color w:val="auto"/>
              </w:rPr>
            </w:pPr>
          </w:p>
        </w:tc>
        <w:tc>
          <w:tcPr>
            <w:tcW w:w="1840" w:type="dxa"/>
            <w:vAlign w:val="bottom"/>
            <w:gridSpan w:val="3"/>
          </w:tcPr>
          <w:p>
            <w:pPr>
              <w:spacing w:after="0"/>
              <w:rPr>
                <w:sz w:val="20"/>
                <w:szCs w:val="20"/>
                <w:color w:val="auto"/>
              </w:rPr>
            </w:pPr>
            <w:r>
              <w:rPr>
                <w:rFonts w:ascii="Arial" w:cs="Arial" w:eastAsia="Arial" w:hAnsi="Arial"/>
                <w:sz w:val="14"/>
                <w:szCs w:val="14"/>
                <w:b w:val="1"/>
                <w:bCs w:val="1"/>
                <w:color w:val="auto"/>
              </w:rPr>
              <w:t>Increase/(Decrease)</w:t>
            </w:r>
          </w:p>
        </w:tc>
        <w:tc>
          <w:tcPr>
            <w:tcW w:w="142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84"/>
              </w:rPr>
              <w:t>Increase/(Decrease)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120" w:type="dxa"/>
            <w:vAlign w:val="bottom"/>
            <w:gridSpan w:val="2"/>
            <w:shd w:val="clear" w:color="auto" w:fill="000000"/>
          </w:tcPr>
          <w:p>
            <w:pPr>
              <w:spacing w:after="0" w:line="20" w:lineRule="exact"/>
              <w:rPr>
                <w:sz w:val="1"/>
                <w:szCs w:val="1"/>
                <w:color w:val="auto"/>
              </w:rPr>
            </w:pPr>
          </w:p>
        </w:tc>
        <w:tc>
          <w:tcPr>
            <w:tcW w:w="720" w:type="dxa"/>
            <w:vAlign w:val="bottom"/>
            <w:vMerge w:val="restart"/>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4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300" w:type="dxa"/>
            <w:vAlign w:val="bottom"/>
            <w:gridSpan w:val="4"/>
          </w:tcPr>
          <w:p>
            <w:pPr>
              <w:jc w:val="right"/>
              <w:ind w:right="55"/>
              <w:spacing w:after="0" w:line="142" w:lineRule="exact"/>
              <w:rPr>
                <w:sz w:val="20"/>
                <w:szCs w:val="20"/>
                <w:color w:val="auto"/>
              </w:rPr>
            </w:pPr>
            <w:r>
              <w:rPr>
                <w:rFonts w:ascii="Arial" w:cs="Arial" w:eastAsia="Arial" w:hAnsi="Arial"/>
                <w:sz w:val="14"/>
                <w:szCs w:val="14"/>
                <w:b w:val="1"/>
                <w:bCs w:val="1"/>
                <w:color w:val="auto"/>
                <w:w w:val="98"/>
              </w:rPr>
              <w:t>(In millions, except percentages)</w:t>
            </w:r>
          </w:p>
        </w:tc>
        <w:tc>
          <w:tcPr>
            <w:tcW w:w="720" w:type="dxa"/>
            <w:vAlign w:val="bottom"/>
            <w:vMerge w:val="continue"/>
          </w:tcPr>
          <w:p>
            <w:pPr>
              <w:spacing w:after="0"/>
              <w:rPr>
                <w:sz w:val="12"/>
                <w:szCs w:val="12"/>
                <w:color w:val="auto"/>
              </w:rPr>
            </w:pPr>
          </w:p>
        </w:tc>
        <w:tc>
          <w:tcPr>
            <w:tcW w:w="1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North America</w:t>
            </w:r>
          </w:p>
        </w:tc>
        <w:tc>
          <w:tcPr>
            <w:tcW w:w="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10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b w:val="1"/>
                <w:bCs w:val="1"/>
                <w:color w:val="auto"/>
              </w:rPr>
              <w:t>76.1</w:t>
            </w:r>
          </w:p>
        </w:tc>
        <w:tc>
          <w:tcPr>
            <w:tcW w:w="440" w:type="dxa"/>
            <w:vAlign w:val="bottom"/>
            <w:gridSpan w:val="2"/>
            <w:shd w:val="clear" w:color="auto" w:fill="CCEEFF"/>
          </w:tcPr>
          <w:p>
            <w:pPr>
              <w:ind w:left="280"/>
              <w:spacing w:after="0"/>
              <w:rPr>
                <w:sz w:val="20"/>
                <w:szCs w:val="20"/>
                <w:color w:val="auto"/>
              </w:rPr>
            </w:pPr>
            <w:r>
              <w:rPr>
                <w:rFonts w:ascii="Arial" w:cs="Arial" w:eastAsia="Arial" w:hAnsi="Arial"/>
                <w:sz w:val="18"/>
                <w:szCs w:val="18"/>
                <w:b w:val="1"/>
                <w:bCs w:val="1"/>
                <w:color w:val="auto"/>
              </w:rPr>
              <w:t>$</w:t>
            </w:r>
          </w:p>
        </w:tc>
        <w:tc>
          <w:tcPr>
            <w:tcW w:w="118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b w:val="1"/>
                <w:bCs w:val="1"/>
                <w:color w:val="auto"/>
              </w:rPr>
              <w:t>97.4</w:t>
            </w:r>
          </w:p>
        </w:tc>
        <w:tc>
          <w:tcPr>
            <w:tcW w:w="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16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b w:val="1"/>
                <w:bCs w:val="1"/>
                <w:color w:val="auto"/>
              </w:rPr>
              <w:t>(21.3)</w:t>
            </w:r>
          </w:p>
        </w:tc>
        <w:tc>
          <w:tcPr>
            <w:tcW w:w="14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(21.9)%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tcPr>
          <w:p>
            <w:pPr>
              <w:spacing w:after="0"/>
              <w:rPr>
                <w:sz w:val="20"/>
                <w:szCs w:val="20"/>
                <w:color w:val="auto"/>
              </w:rPr>
            </w:pPr>
            <w:r>
              <w:rPr>
                <w:rFonts w:ascii="Arial" w:cs="Arial" w:eastAsia="Arial" w:hAnsi="Arial"/>
                <w:sz w:val="18"/>
                <w:szCs w:val="18"/>
                <w:b w:val="1"/>
                <w:bCs w:val="1"/>
                <w:color w:val="auto"/>
              </w:rPr>
              <w:t>International:</w:t>
            </w: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Africa</w:t>
            </w: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b w:val="1"/>
                <w:bCs w:val="1"/>
                <w:color w:val="auto"/>
              </w:rPr>
              <w:t>49.2</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b w:val="1"/>
                <w:bCs w:val="1"/>
                <w:color w:val="auto"/>
              </w:rPr>
              <w:t>48.5</w:t>
            </w:r>
          </w:p>
        </w:tc>
        <w:tc>
          <w:tcPr>
            <w:tcW w:w="20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b w:val="1"/>
                <w:bCs w:val="1"/>
                <w:color w:val="auto"/>
              </w:rPr>
              <w:t>0.7</w:t>
            </w: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tcPr>
          <w:p>
            <w:pPr>
              <w:ind w:left="420"/>
              <w:spacing w:after="0"/>
              <w:rPr>
                <w:sz w:val="20"/>
                <w:szCs w:val="20"/>
                <w:color w:val="auto"/>
              </w:rPr>
            </w:pPr>
            <w:r>
              <w:rPr>
                <w:rFonts w:ascii="Arial" w:cs="Arial" w:eastAsia="Arial" w:hAnsi="Arial"/>
                <w:sz w:val="18"/>
                <w:szCs w:val="18"/>
                <w:color w:val="auto"/>
              </w:rPr>
              <w:t>Europe, Middle East, and Russia</w:t>
            </w:r>
          </w:p>
        </w:tc>
        <w:tc>
          <w:tcPr>
            <w:tcW w:w="180" w:type="dxa"/>
            <w:vAlign w:val="bottom"/>
          </w:tcPr>
          <w:p>
            <w:pPr>
              <w:spacing w:after="0"/>
              <w:rPr>
                <w:sz w:val="18"/>
                <w:szCs w:val="18"/>
                <w:color w:val="auto"/>
              </w:rPr>
            </w:pPr>
          </w:p>
        </w:tc>
        <w:tc>
          <w:tcPr>
            <w:tcW w:w="106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62.3</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720"/>
              <w:spacing w:after="0"/>
              <w:rPr>
                <w:sz w:val="20"/>
                <w:szCs w:val="20"/>
                <w:color w:val="auto"/>
              </w:rPr>
            </w:pPr>
            <w:r>
              <w:rPr>
                <w:rFonts w:ascii="Arial" w:cs="Arial" w:eastAsia="Arial" w:hAnsi="Arial"/>
                <w:sz w:val="18"/>
                <w:szCs w:val="18"/>
                <w:b w:val="1"/>
                <w:bCs w:val="1"/>
                <w:color w:val="auto"/>
              </w:rPr>
              <w:t>48.5</w:t>
            </w:r>
          </w:p>
        </w:tc>
        <w:tc>
          <w:tcPr>
            <w:tcW w:w="200" w:type="dxa"/>
            <w:vAlign w:val="bottom"/>
          </w:tcPr>
          <w:p>
            <w:pPr>
              <w:spacing w:after="0"/>
              <w:rPr>
                <w:sz w:val="18"/>
                <w:szCs w:val="18"/>
                <w:color w:val="auto"/>
              </w:rPr>
            </w:pPr>
          </w:p>
        </w:tc>
        <w:tc>
          <w:tcPr>
            <w:tcW w:w="1640" w:type="dxa"/>
            <w:vAlign w:val="bottom"/>
            <w:gridSpan w:val="2"/>
          </w:tcPr>
          <w:p>
            <w:pPr>
              <w:jc w:val="right"/>
              <w:ind w:right="720"/>
              <w:spacing w:after="0"/>
              <w:rPr>
                <w:sz w:val="20"/>
                <w:szCs w:val="20"/>
                <w:color w:val="auto"/>
              </w:rPr>
            </w:pPr>
            <w:r>
              <w:rPr>
                <w:rFonts w:ascii="Arial" w:cs="Arial" w:eastAsia="Arial" w:hAnsi="Arial"/>
                <w:sz w:val="18"/>
                <w:szCs w:val="18"/>
                <w:b w:val="1"/>
                <w:bCs w:val="1"/>
                <w:color w:val="auto"/>
              </w:rPr>
              <w:t>13.8</w:t>
            </w:r>
          </w:p>
        </w:tc>
        <w:tc>
          <w:tcPr>
            <w:tcW w:w="14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28.5%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Latin America and Asia Pacific</w:t>
            </w: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b w:val="1"/>
                <w:bCs w:val="1"/>
                <w:color w:val="auto"/>
              </w:rPr>
              <w:t>45.7</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b w:val="1"/>
                <w:bCs w:val="1"/>
                <w:color w:val="auto"/>
              </w:rPr>
              <w:t>48.2</w:t>
            </w:r>
          </w:p>
        </w:tc>
        <w:tc>
          <w:tcPr>
            <w:tcW w:w="20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b w:val="1"/>
                <w:bCs w:val="1"/>
                <w:color w:val="auto"/>
              </w:rPr>
              <w:t>(2.5)</w:t>
            </w:r>
          </w:p>
        </w:tc>
        <w:tc>
          <w:tcPr>
            <w:tcW w:w="14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(5.2)%</w:t>
            </w:r>
          </w:p>
        </w:tc>
        <w:tc>
          <w:tcPr>
            <w:tcW w:w="0" w:type="dxa"/>
            <w:vAlign w:val="bottom"/>
          </w:tcPr>
          <w:p>
            <w:pPr>
              <w:spacing w:after="0"/>
              <w:rPr>
                <w:sz w:val="1"/>
                <w:szCs w:val="1"/>
                <w:color w:val="auto"/>
              </w:rPr>
            </w:pPr>
          </w:p>
        </w:tc>
      </w:tr>
      <w:tr>
        <w:trPr>
          <w:trHeight w:val="230"/>
        </w:trPr>
        <w:tc>
          <w:tcPr>
            <w:tcW w:w="4380" w:type="dxa"/>
            <w:vAlign w:val="bottom"/>
            <w:gridSpan w:val="2"/>
          </w:tcPr>
          <w:p>
            <w:pPr>
              <w:spacing w:after="0"/>
              <w:rPr>
                <w:sz w:val="20"/>
                <w:szCs w:val="20"/>
                <w:color w:val="auto"/>
              </w:rPr>
            </w:pPr>
            <w:r>
              <w:rPr>
                <w:rFonts w:ascii="Arial" w:cs="Arial" w:eastAsia="Arial" w:hAnsi="Arial"/>
                <w:sz w:val="18"/>
                <w:szCs w:val="18"/>
                <w:b w:val="1"/>
                <w:bCs w:val="1"/>
                <w:color w:val="auto"/>
              </w:rPr>
              <w:t>Total International</w:t>
            </w:r>
          </w:p>
        </w:tc>
        <w:tc>
          <w:tcPr>
            <w:tcW w:w="180" w:type="dxa"/>
            <w:vAlign w:val="bottom"/>
            <w:tcBorders>
              <w:top w:val="single" w:sz="8" w:color="auto"/>
              <w:bottom w:val="single" w:sz="8" w:color="auto"/>
            </w:tcBorders>
          </w:tcPr>
          <w:p>
            <w:pPr>
              <w:spacing w:after="0"/>
              <w:rPr>
                <w:sz w:val="20"/>
                <w:szCs w:val="20"/>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157.2</w:t>
            </w:r>
          </w:p>
        </w:tc>
        <w:tc>
          <w:tcPr>
            <w:tcW w:w="4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7"/>
              </w:rPr>
              <w:t>145.2</w:t>
            </w:r>
          </w:p>
        </w:tc>
        <w:tc>
          <w:tcPr>
            <w:tcW w:w="72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12.0</w:t>
            </w:r>
          </w:p>
        </w:tc>
        <w:tc>
          <w:tcPr>
            <w:tcW w:w="720" w:type="dxa"/>
            <w:vAlign w:val="bottom"/>
          </w:tcPr>
          <w:p>
            <w:pPr>
              <w:spacing w:after="0"/>
              <w:rPr>
                <w:sz w:val="20"/>
                <w:szCs w:val="20"/>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Revenue</w:t>
            </w:r>
          </w:p>
        </w:tc>
        <w:tc>
          <w:tcPr>
            <w:tcW w:w="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233.3</w:t>
            </w:r>
          </w:p>
        </w:tc>
        <w:tc>
          <w:tcPr>
            <w:tcW w:w="440" w:type="dxa"/>
            <w:vAlign w:val="bottom"/>
            <w:shd w:val="clear" w:color="auto" w:fill="CCEEFF"/>
          </w:tcPr>
          <w:p>
            <w:pPr>
              <w:spacing w:after="0"/>
              <w:rPr>
                <w:sz w:val="18"/>
                <w:szCs w:val="18"/>
                <w:color w:val="auto"/>
              </w:rPr>
            </w:pPr>
          </w:p>
        </w:tc>
        <w:tc>
          <w:tcPr>
            <w:tcW w:w="440" w:type="dxa"/>
            <w:vAlign w:val="bottom"/>
            <w:gridSpan w:val="2"/>
            <w:shd w:val="clear" w:color="auto" w:fill="CCEEFF"/>
          </w:tcPr>
          <w:p>
            <w:pPr>
              <w:ind w:left="280"/>
              <w:spacing w:after="0"/>
              <w:rPr>
                <w:sz w:val="20"/>
                <w:szCs w:val="20"/>
                <w:color w:val="auto"/>
              </w:rPr>
            </w:pPr>
            <w:r>
              <w:rPr>
                <w:rFonts w:ascii="Arial" w:cs="Arial" w:eastAsia="Arial" w:hAnsi="Arial"/>
                <w:sz w:val="18"/>
                <w:szCs w:val="18"/>
                <w:b w:val="1"/>
                <w:bCs w:val="1"/>
                <w:color w:val="auto"/>
              </w:rPr>
              <w:t>$</w:t>
            </w:r>
          </w:p>
        </w:tc>
        <w:tc>
          <w:tcPr>
            <w:tcW w:w="118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b w:val="1"/>
                <w:bCs w:val="1"/>
                <w:color w:val="auto"/>
                <w:w w:val="97"/>
              </w:rPr>
              <w:t>242.6</w:t>
            </w:r>
          </w:p>
        </w:tc>
        <w:tc>
          <w:tcPr>
            <w:tcW w:w="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16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b w:val="1"/>
                <w:bCs w:val="1"/>
                <w:color w:val="auto"/>
              </w:rPr>
              <w:t>(9.3)</w:t>
            </w:r>
          </w:p>
        </w:tc>
        <w:tc>
          <w:tcPr>
            <w:tcW w:w="14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(3.8)%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4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gridSpan w:val="2"/>
          </w:tcPr>
          <w:p>
            <w:pPr>
              <w:jc w:val="right"/>
              <w:ind w:right="280"/>
              <w:spacing w:after="0"/>
              <w:rPr>
                <w:sz w:val="20"/>
                <w:szCs w:val="20"/>
                <w:color w:val="auto"/>
              </w:rPr>
            </w:pPr>
            <w:r>
              <w:rPr>
                <w:rFonts w:ascii="Arial" w:cs="Arial" w:eastAsia="Arial" w:hAnsi="Arial"/>
                <w:sz w:val="18"/>
                <w:szCs w:val="18"/>
                <w:color w:val="auto"/>
              </w:rPr>
              <w:t>23</w:t>
            </w: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60"/>
          </w:cols>
          <w:pgMar w:left="240" w:top="459" w:right="29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The decrease of our total revenue in the first two quarters of fiscal 2011 compared with the same period in fiscal 2010 resulted from a significant decrease in revenue in North America, partially offset by increases in international revenues. The increase of our international revenue resulted from significant increases in EMER, where increased orders for the current product platform were delivered in the second quarter of fiscal 2011. Revenue in the first two quarters of fiscal 2010 included a substantial amount of purchases from a customer in the Middle East that was not repeated in fiscal 2011. However, wireless customers in Russia that had reduced their capital spending sharply in calendar 2009 and early 2010 in response to the tightening in credit markets, increased spending allowing us to benefit from their incremental business in the first two quarters of fiscal 2011. Competitive pricing pressures in Russia continue to impact the business so future order levels may vary significantly. Finally, in the Asia Pacific region, the product mix varied from the first two quarters of fiscal 2011 as compared with the same period in fiscal 2010. In the second quarter of fiscal 2011, revenue from shipments of WiMAX product substantially increased in the region, mostly in India, while microwave business in other countries was flat or down compared to the previous year.</w:t>
      </w:r>
    </w:p>
    <w:p>
      <w:pPr>
        <w:spacing w:after="0" w:line="120"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We experienced a significant decrease in revenue in North America that resulted primarily from product transition to our current product platform from our legacy products, some continuing effects of the economic downturn, as well as increased competition. In the first two quarters of fiscal 2010, most of our North America business was in our legacy products. While we continued last time buy activity in those product lines in the first two quarters of fiscal 2011, we are also in the process of transitioning our North America customers to our current product. Many of our customers are now completing their first deployments of the current product. We expect orders for this line of products to increase in future periods as market acceptance gains traction.</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During the first two quarters of fiscal 2011 and fiscal 2010, none of our customers accounted for 10% or more of revenue.</w:t>
      </w:r>
    </w:p>
    <w:p>
      <w:pPr>
        <w:spacing w:after="0" w:line="171"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Our net loss in the first two quarters of fiscal 2011 and fiscal 2010 included amortization of purchased intangibles, rebranding expenses and share-based compensation expense. In addition, we incurred substantial charges associated with two ongoing restructuring plans. During the first two quarters of fiscal 2011, we incurred $9.0 million of restructuring charges compared with $2.6 million in the first two quarters of fiscal 2010. Finally, we recognized a $4.4 million loss on the sale of NetBoss assets to a third party in the first quarter of fiscal 2011. These charges and expenses are set forth on a comparative basis in the table below:</w:t>
      </w:r>
    </w:p>
    <w:p>
      <w:pPr>
        <w:spacing w:after="0" w:line="149"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6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gridSpan w:val="4"/>
          </w:tcPr>
          <w:p>
            <w:pPr>
              <w:jc w:val="center"/>
              <w:ind w:left="198"/>
              <w:spacing w:after="0"/>
              <w:rPr>
                <w:sz w:val="20"/>
                <w:szCs w:val="20"/>
                <w:color w:val="auto"/>
              </w:rPr>
            </w:pPr>
            <w:r>
              <w:rPr>
                <w:rFonts w:ascii="Arial" w:cs="Arial" w:eastAsia="Arial" w:hAnsi="Arial"/>
                <w:sz w:val="14"/>
                <w:szCs w:val="14"/>
                <w:b w:val="1"/>
                <w:bCs w:val="1"/>
                <w:color w:val="auto"/>
                <w:w w:val="89"/>
              </w:rPr>
              <w:t>Two Quarters Ended</w:t>
            </w:r>
          </w:p>
        </w:tc>
        <w:tc>
          <w:tcPr>
            <w:tcW w:w="4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29"/>
        </w:trPr>
        <w:tc>
          <w:tcPr>
            <w:tcW w:w="64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8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December 31,</w:t>
            </w:r>
          </w:p>
        </w:tc>
        <w:tc>
          <w:tcPr>
            <w:tcW w:w="680" w:type="dxa"/>
            <w:vAlign w:val="bottom"/>
            <w:gridSpan w:val="3"/>
          </w:tcPr>
          <w:p>
            <w:pPr>
              <w:ind w:left="60"/>
              <w:spacing w:after="0" w:line="129" w:lineRule="exact"/>
              <w:rPr>
                <w:sz w:val="20"/>
                <w:szCs w:val="20"/>
                <w:color w:val="auto"/>
              </w:rPr>
            </w:pPr>
            <w:r>
              <w:rPr>
                <w:rFonts w:ascii="Arial" w:cs="Arial" w:eastAsia="Arial" w:hAnsi="Arial"/>
                <w:sz w:val="14"/>
                <w:szCs w:val="14"/>
                <w:b w:val="1"/>
                <w:bCs w:val="1"/>
                <w:color w:val="auto"/>
                <w:w w:val="86"/>
              </w:rPr>
              <w:t>January 1,</w:t>
            </w:r>
          </w:p>
        </w:tc>
        <w:tc>
          <w:tcPr>
            <w:tcW w:w="100" w:type="dxa"/>
            <w:vAlign w:val="bottom"/>
          </w:tcPr>
          <w:p>
            <w:pPr>
              <w:spacing w:after="0"/>
              <w:rPr>
                <w:sz w:val="11"/>
                <w:szCs w:val="11"/>
                <w:color w:val="auto"/>
              </w:rPr>
            </w:pPr>
          </w:p>
        </w:tc>
      </w:tr>
      <w:tr>
        <w:trPr>
          <w:trHeight w:val="161"/>
        </w:trPr>
        <w:tc>
          <w:tcPr>
            <w:tcW w:w="6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78"/>
              <w:spacing w:after="0"/>
              <w:rPr>
                <w:sz w:val="20"/>
                <w:szCs w:val="20"/>
                <w:color w:val="auto"/>
              </w:rPr>
            </w:pPr>
            <w:r>
              <w:rPr>
                <w:rFonts w:ascii="Arial" w:cs="Arial" w:eastAsia="Arial" w:hAnsi="Arial"/>
                <w:sz w:val="14"/>
                <w:szCs w:val="14"/>
                <w:b w:val="1"/>
                <w:bCs w:val="1"/>
                <w:color w:val="auto"/>
              </w:rPr>
              <w:t>2010</w:t>
            </w:r>
          </w:p>
        </w:tc>
        <w:tc>
          <w:tcPr>
            <w:tcW w:w="7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ind w:right="94"/>
              <w:spacing w:after="0"/>
              <w:rPr>
                <w:sz w:val="20"/>
                <w:szCs w:val="20"/>
                <w:color w:val="auto"/>
              </w:rPr>
            </w:pPr>
            <w:r>
              <w:rPr>
                <w:rFonts w:ascii="Arial" w:cs="Arial" w:eastAsia="Arial" w:hAnsi="Arial"/>
                <w:sz w:val="14"/>
                <w:szCs w:val="14"/>
                <w:b w:val="1"/>
                <w:bCs w:val="1"/>
                <w:color w:val="auto"/>
                <w:w w:val="83"/>
              </w:rPr>
              <w:t>2010</w:t>
            </w:r>
          </w:p>
        </w:tc>
        <w:tc>
          <w:tcPr>
            <w:tcW w:w="100" w:type="dxa"/>
            <w:vAlign w:val="bottom"/>
          </w:tcPr>
          <w:p>
            <w:pPr>
              <w:spacing w:after="0"/>
              <w:rPr>
                <w:sz w:val="14"/>
                <w:szCs w:val="14"/>
                <w:color w:val="auto"/>
              </w:rPr>
            </w:pPr>
          </w:p>
        </w:tc>
      </w:tr>
      <w:tr>
        <w:trPr>
          <w:trHeight w:val="142"/>
        </w:trPr>
        <w:tc>
          <w:tcPr>
            <w:tcW w:w="6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20" w:type="dxa"/>
            <w:vAlign w:val="bottom"/>
            <w:gridSpan w:val="2"/>
          </w:tcPr>
          <w:p>
            <w:pPr>
              <w:jc w:val="center"/>
              <w:ind w:left="418"/>
              <w:spacing w:after="0" w:line="142" w:lineRule="exact"/>
              <w:rPr>
                <w:sz w:val="20"/>
                <w:szCs w:val="20"/>
                <w:color w:val="auto"/>
              </w:rPr>
            </w:pPr>
            <w:r>
              <w:rPr>
                <w:rFonts w:ascii="Arial" w:cs="Arial" w:eastAsia="Arial" w:hAnsi="Arial"/>
                <w:sz w:val="14"/>
                <w:szCs w:val="14"/>
                <w:b w:val="1"/>
                <w:bCs w:val="1"/>
                <w:color w:val="auto"/>
                <w:w w:val="89"/>
              </w:rPr>
              <w:t>(In millions)</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Restructuring charges</w:t>
            </w:r>
          </w:p>
        </w:tc>
        <w:tc>
          <w:tcPr>
            <w:tcW w:w="1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9.0</w:t>
            </w:r>
          </w:p>
        </w:tc>
        <w:tc>
          <w:tcPr>
            <w:tcW w:w="700" w:type="dxa"/>
            <w:vAlign w:val="bottom"/>
            <w:shd w:val="clear" w:color="auto" w:fill="CCEEFF"/>
          </w:tcPr>
          <w:p>
            <w:pPr>
              <w:spacing w:after="0"/>
              <w:rPr>
                <w:sz w:val="18"/>
                <w:szCs w:val="18"/>
                <w:color w:val="auto"/>
              </w:rPr>
            </w:pPr>
          </w:p>
        </w:tc>
        <w:tc>
          <w:tcPr>
            <w:tcW w:w="220" w:type="dxa"/>
            <w:vAlign w:val="bottom"/>
            <w:gridSpan w:val="2"/>
            <w:shd w:val="clear" w:color="auto" w:fill="CCEEFF"/>
          </w:tcPr>
          <w:p>
            <w:pPr>
              <w:ind w:left="60"/>
              <w:spacing w:after="0"/>
              <w:rPr>
                <w:sz w:val="20"/>
                <w:szCs w:val="20"/>
                <w:color w:val="auto"/>
              </w:rPr>
            </w:pPr>
            <w:r>
              <w:rPr>
                <w:rFonts w:ascii="Arial" w:cs="Arial" w:eastAsia="Arial" w:hAnsi="Arial"/>
                <w:sz w:val="18"/>
                <w:szCs w:val="18"/>
                <w:b w:val="1"/>
                <w:bCs w:val="1"/>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2.6</w:t>
            </w:r>
          </w:p>
        </w:tc>
        <w:tc>
          <w:tcPr>
            <w:tcW w:w="100" w:type="dxa"/>
            <w:vAlign w:val="bottom"/>
            <w:shd w:val="clear" w:color="auto" w:fill="CCEEFF"/>
          </w:tcPr>
          <w:p>
            <w:pPr>
              <w:spacing w:after="0"/>
              <w:rPr>
                <w:sz w:val="18"/>
                <w:szCs w:val="18"/>
                <w:color w:val="auto"/>
              </w:rPr>
            </w:pPr>
          </w:p>
        </w:tc>
      </w:tr>
      <w:tr>
        <w:trPr>
          <w:trHeight w:val="216"/>
        </w:trPr>
        <w:tc>
          <w:tcPr>
            <w:tcW w:w="6400" w:type="dxa"/>
            <w:vAlign w:val="bottom"/>
          </w:tcPr>
          <w:p>
            <w:pPr>
              <w:spacing w:after="0"/>
              <w:rPr>
                <w:sz w:val="20"/>
                <w:szCs w:val="20"/>
                <w:color w:val="auto"/>
              </w:rPr>
            </w:pPr>
            <w:r>
              <w:rPr>
                <w:rFonts w:ascii="Arial" w:cs="Arial" w:eastAsia="Arial" w:hAnsi="Arial"/>
                <w:sz w:val="18"/>
                <w:szCs w:val="18"/>
                <w:color w:val="auto"/>
              </w:rPr>
              <w:t>Loss on sale of NetBoss assets</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b w:val="1"/>
                <w:bCs w:val="1"/>
                <w:color w:val="auto"/>
              </w:rPr>
              <w:t>4.4</w:t>
            </w: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gridSpan w:val="2"/>
          </w:tcPr>
          <w:p>
            <w:pPr>
              <w:ind w:left="200"/>
              <w:spacing w:after="0"/>
              <w:rPr>
                <w:sz w:val="20"/>
                <w:szCs w:val="20"/>
                <w:color w:val="auto"/>
              </w:rPr>
            </w:pPr>
            <w:r>
              <w:rPr>
                <w:rFonts w:ascii="Arial" w:cs="Arial" w:eastAsia="Arial" w:hAnsi="Arial"/>
                <w:sz w:val="18"/>
                <w:szCs w:val="18"/>
                <w:b w:val="1"/>
                <w:bCs w:val="1"/>
                <w:color w:val="auto"/>
              </w:rPr>
              <w:t>—</w:t>
            </w:r>
          </w:p>
        </w:tc>
      </w:tr>
      <w:tr>
        <w:trPr>
          <w:trHeight w:val="216"/>
        </w:trPr>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trade names and customer relationships</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1.4</w:t>
            </w: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3.0</w:t>
            </w:r>
          </w:p>
        </w:tc>
        <w:tc>
          <w:tcPr>
            <w:tcW w:w="100" w:type="dxa"/>
            <w:vAlign w:val="bottom"/>
            <w:shd w:val="clear" w:color="auto" w:fill="CCEEFF"/>
          </w:tcPr>
          <w:p>
            <w:pPr>
              <w:spacing w:after="0"/>
              <w:rPr>
                <w:sz w:val="18"/>
                <w:szCs w:val="18"/>
                <w:color w:val="auto"/>
              </w:rPr>
            </w:pPr>
          </w:p>
        </w:tc>
      </w:tr>
      <w:tr>
        <w:trPr>
          <w:trHeight w:val="216"/>
        </w:trPr>
        <w:tc>
          <w:tcPr>
            <w:tcW w:w="6400" w:type="dxa"/>
            <w:vAlign w:val="bottom"/>
          </w:tcPr>
          <w:p>
            <w:pPr>
              <w:spacing w:after="0"/>
              <w:rPr>
                <w:sz w:val="20"/>
                <w:szCs w:val="20"/>
                <w:color w:val="auto"/>
              </w:rPr>
            </w:pPr>
            <w:r>
              <w:rPr>
                <w:rFonts w:ascii="Arial" w:cs="Arial" w:eastAsia="Arial" w:hAnsi="Arial"/>
                <w:sz w:val="18"/>
                <w:szCs w:val="18"/>
                <w:color w:val="auto"/>
              </w:rPr>
              <w:t>Rebranding and transitional costs</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b w:val="1"/>
                <w:bCs w:val="1"/>
                <w:color w:val="auto"/>
              </w:rPr>
              <w:t>0.9</w:t>
            </w: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b w:val="1"/>
                <w:bCs w:val="1"/>
                <w:color w:val="auto"/>
              </w:rPr>
              <w:t>1.6</w:t>
            </w:r>
          </w:p>
        </w:tc>
        <w:tc>
          <w:tcPr>
            <w:tcW w:w="100" w:type="dxa"/>
            <w:vAlign w:val="bottom"/>
          </w:tcPr>
          <w:p>
            <w:pPr>
              <w:spacing w:after="0"/>
              <w:rPr>
                <w:sz w:val="18"/>
                <w:szCs w:val="18"/>
                <w:color w:val="auto"/>
              </w:rPr>
            </w:pPr>
          </w:p>
        </w:tc>
      </w:tr>
      <w:tr>
        <w:trPr>
          <w:trHeight w:val="216"/>
        </w:trPr>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developed technology</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0.3</w:t>
            </w: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4.2</w:t>
            </w:r>
          </w:p>
        </w:tc>
        <w:tc>
          <w:tcPr>
            <w:tcW w:w="100" w:type="dxa"/>
            <w:vAlign w:val="bottom"/>
            <w:shd w:val="clear" w:color="auto" w:fill="CCEEFF"/>
          </w:tcPr>
          <w:p>
            <w:pPr>
              <w:spacing w:after="0"/>
              <w:rPr>
                <w:sz w:val="18"/>
                <w:szCs w:val="18"/>
                <w:color w:val="auto"/>
              </w:rPr>
            </w:pPr>
          </w:p>
        </w:tc>
      </w:tr>
      <w:tr>
        <w:trPr>
          <w:trHeight w:val="216"/>
        </w:trPr>
        <w:tc>
          <w:tcPr>
            <w:tcW w:w="6400" w:type="dxa"/>
            <w:vAlign w:val="bottom"/>
          </w:tcPr>
          <w:p>
            <w:pPr>
              <w:spacing w:after="0"/>
              <w:rPr>
                <w:sz w:val="20"/>
                <w:szCs w:val="20"/>
                <w:color w:val="auto"/>
              </w:rPr>
            </w:pPr>
            <w:r>
              <w:rPr>
                <w:rFonts w:ascii="Arial" w:cs="Arial" w:eastAsia="Arial" w:hAnsi="Arial"/>
                <w:sz w:val="18"/>
                <w:szCs w:val="18"/>
                <w:color w:val="auto"/>
              </w:rPr>
              <w:t>Share-based compensation expense</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b w:val="1"/>
                <w:bCs w:val="1"/>
                <w:color w:val="auto"/>
              </w:rPr>
              <w:t>2.1</w:t>
            </w: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b w:val="1"/>
                <w:bCs w:val="1"/>
                <w:color w:val="auto"/>
              </w:rPr>
              <w:t>1.6</w:t>
            </w:r>
          </w:p>
        </w:tc>
        <w:tc>
          <w:tcPr>
            <w:tcW w:w="100" w:type="dxa"/>
            <w:vAlign w:val="bottom"/>
          </w:tcPr>
          <w:p>
            <w:pPr>
              <w:spacing w:after="0"/>
              <w:rPr>
                <w:sz w:val="18"/>
                <w:szCs w:val="18"/>
                <w:color w:val="auto"/>
              </w:rPr>
            </w:pPr>
          </w:p>
        </w:tc>
      </w:tr>
      <w:tr>
        <w:trPr>
          <w:trHeight w:val="216"/>
        </w:trPr>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0.5</w:t>
            </w: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0.4</w:t>
            </w:r>
          </w:p>
        </w:tc>
        <w:tc>
          <w:tcPr>
            <w:tcW w:w="100" w:type="dxa"/>
            <w:vAlign w:val="bottom"/>
            <w:shd w:val="clear" w:color="auto" w:fill="CCEEFF"/>
          </w:tcPr>
          <w:p>
            <w:pPr>
              <w:spacing w:after="0"/>
              <w:rPr>
                <w:sz w:val="18"/>
                <w:szCs w:val="18"/>
                <w:color w:val="auto"/>
              </w:rPr>
            </w:pPr>
          </w:p>
        </w:tc>
      </w:tr>
      <w:tr>
        <w:trPr>
          <w:trHeight w:val="223"/>
        </w:trPr>
        <w:tc>
          <w:tcPr>
            <w:tcW w:w="64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18.6</w:t>
            </w:r>
          </w:p>
        </w:tc>
        <w:tc>
          <w:tcPr>
            <w:tcW w:w="7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13.4</w:t>
            </w:r>
          </w:p>
        </w:tc>
        <w:tc>
          <w:tcPr>
            <w:tcW w:w="100" w:type="dxa"/>
            <w:vAlign w:val="bottom"/>
          </w:tcPr>
          <w:p>
            <w:pPr>
              <w:spacing w:after="0"/>
              <w:rPr>
                <w:sz w:val="19"/>
                <w:szCs w:val="19"/>
                <w:color w:val="auto"/>
              </w:rPr>
            </w:pPr>
          </w:p>
        </w:tc>
      </w:tr>
      <w:tr>
        <w:trPr>
          <w:trHeight w:val="20"/>
        </w:trPr>
        <w:tc>
          <w:tcPr>
            <w:tcW w:w="6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Gross Margin</w:t>
      </w:r>
    </w:p>
    <w:p>
      <w:pPr>
        <w:spacing w:after="0" w:line="207"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35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gridSpan w:val="4"/>
          </w:tcPr>
          <w:p>
            <w:pPr>
              <w:ind w:left="400"/>
              <w:spacing w:after="0"/>
              <w:rPr>
                <w:sz w:val="20"/>
                <w:szCs w:val="20"/>
                <w:color w:val="auto"/>
              </w:rPr>
            </w:pPr>
            <w:r>
              <w:rPr>
                <w:rFonts w:ascii="Arial" w:cs="Arial" w:eastAsia="Arial" w:hAnsi="Arial"/>
                <w:sz w:val="14"/>
                <w:szCs w:val="14"/>
                <w:b w:val="1"/>
                <w:bCs w:val="1"/>
                <w:color w:val="auto"/>
                <w:w w:val="94"/>
              </w:rPr>
              <w:t>Two Quarters Ended</w:t>
            </w:r>
          </w:p>
        </w:tc>
        <w:tc>
          <w:tcPr>
            <w:tcW w:w="480" w:type="dxa"/>
            <w:vAlign w:val="bottom"/>
            <w:tcBorders>
              <w:bottom w:val="single" w:sz="8" w:color="auto"/>
            </w:tcBorders>
          </w:tcPr>
          <w:p>
            <w:pPr>
              <w:spacing w:after="0"/>
              <w:rPr>
                <w:sz w:val="14"/>
                <w:szCs w:val="14"/>
                <w:color w:val="auto"/>
              </w:rPr>
            </w:pPr>
          </w:p>
        </w:tc>
        <w:tc>
          <w:tcPr>
            <w:tcW w:w="960" w:type="dxa"/>
            <w:vAlign w:val="bottom"/>
          </w:tcPr>
          <w:p>
            <w:pPr>
              <w:spacing w:after="0"/>
              <w:rPr>
                <w:sz w:val="14"/>
                <w:szCs w:val="14"/>
                <w:color w:val="auto"/>
              </w:rPr>
            </w:pPr>
          </w:p>
        </w:tc>
        <w:tc>
          <w:tcPr>
            <w:tcW w:w="142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82"/>
              </w:rPr>
              <w:t>Percentage</w:t>
            </w:r>
          </w:p>
        </w:tc>
        <w:tc>
          <w:tcPr>
            <w:tcW w:w="0" w:type="dxa"/>
            <w:vAlign w:val="bottom"/>
          </w:tcPr>
          <w:p>
            <w:pPr>
              <w:spacing w:after="0"/>
              <w:rPr>
                <w:sz w:val="1"/>
                <w:szCs w:val="1"/>
                <w:color w:val="auto"/>
              </w:rPr>
            </w:pPr>
          </w:p>
        </w:tc>
      </w:tr>
      <w:tr>
        <w:trPr>
          <w:trHeight w:val="129"/>
        </w:trPr>
        <w:tc>
          <w:tcPr>
            <w:tcW w:w="354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1140" w:type="dxa"/>
            <w:vAlign w:val="bottom"/>
            <w:gridSpan w:val="3"/>
          </w:tcPr>
          <w:p>
            <w:pPr>
              <w:ind w:left="20"/>
              <w:spacing w:after="0" w:line="129" w:lineRule="exact"/>
              <w:rPr>
                <w:sz w:val="20"/>
                <w:szCs w:val="20"/>
                <w:color w:val="auto"/>
              </w:rPr>
            </w:pPr>
            <w:r>
              <w:rPr>
                <w:rFonts w:ascii="Arial" w:cs="Arial" w:eastAsia="Arial" w:hAnsi="Arial"/>
                <w:sz w:val="14"/>
                <w:szCs w:val="14"/>
                <w:b w:val="1"/>
                <w:bCs w:val="1"/>
                <w:color w:val="auto"/>
              </w:rPr>
              <w:t>December 31,</w:t>
            </w:r>
          </w:p>
        </w:tc>
        <w:tc>
          <w:tcPr>
            <w:tcW w:w="620" w:type="dxa"/>
            <w:vAlign w:val="bottom"/>
          </w:tcPr>
          <w:p>
            <w:pPr>
              <w:spacing w:after="0"/>
              <w:rPr>
                <w:sz w:val="11"/>
                <w:szCs w:val="11"/>
                <w:color w:val="auto"/>
              </w:rPr>
            </w:pPr>
          </w:p>
        </w:tc>
        <w:tc>
          <w:tcPr>
            <w:tcW w:w="62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w w:val="86"/>
              </w:rPr>
              <w:t>January 1,</w:t>
            </w:r>
          </w:p>
        </w:tc>
        <w:tc>
          <w:tcPr>
            <w:tcW w:w="960" w:type="dxa"/>
            <w:vAlign w:val="bottom"/>
          </w:tcPr>
          <w:p>
            <w:pPr>
              <w:spacing w:after="0"/>
              <w:rPr>
                <w:sz w:val="11"/>
                <w:szCs w:val="11"/>
                <w:color w:val="auto"/>
              </w:rPr>
            </w:pPr>
          </w:p>
        </w:tc>
        <w:tc>
          <w:tcPr>
            <w:tcW w:w="142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35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79"/>
              <w:spacing w:after="0"/>
              <w:rPr>
                <w:sz w:val="20"/>
                <w:szCs w:val="20"/>
                <w:color w:val="auto"/>
              </w:rPr>
            </w:pPr>
            <w:r>
              <w:rPr>
                <w:rFonts w:ascii="Arial" w:cs="Arial" w:eastAsia="Arial" w:hAnsi="Arial"/>
                <w:sz w:val="14"/>
                <w:szCs w:val="14"/>
                <w:b w:val="1"/>
                <w:bCs w:val="1"/>
                <w:color w:val="auto"/>
              </w:rPr>
              <w:t>2010</w:t>
            </w:r>
          </w:p>
        </w:tc>
        <w:tc>
          <w:tcPr>
            <w:tcW w:w="3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96"/>
              <w:spacing w:after="0"/>
              <w:rPr>
                <w:sz w:val="20"/>
                <w:szCs w:val="20"/>
                <w:color w:val="auto"/>
              </w:rPr>
            </w:pPr>
            <w:r>
              <w:rPr>
                <w:rFonts w:ascii="Arial" w:cs="Arial" w:eastAsia="Arial" w:hAnsi="Arial"/>
                <w:sz w:val="14"/>
                <w:szCs w:val="14"/>
                <w:b w:val="1"/>
                <w:bCs w:val="1"/>
                <w:color w:val="auto"/>
                <w:w w:val="89"/>
              </w:rPr>
              <w:t>2010</w:t>
            </w:r>
          </w:p>
        </w:tc>
        <w:tc>
          <w:tcPr>
            <w:tcW w:w="960" w:type="dxa"/>
            <w:vAlign w:val="bottom"/>
          </w:tcPr>
          <w:p>
            <w:pPr>
              <w:spacing w:after="0"/>
              <w:rPr>
                <w:sz w:val="14"/>
                <w:szCs w:val="14"/>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6"/>
              </w:rPr>
              <w:t>Increase/(Decrease)</w:t>
            </w: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54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40" w:type="dxa"/>
            <w:vAlign w:val="bottom"/>
            <w:gridSpan w:val="3"/>
          </w:tcPr>
          <w:p>
            <w:pPr>
              <w:jc w:val="right"/>
              <w:spacing w:after="0" w:line="142" w:lineRule="exact"/>
              <w:rPr>
                <w:sz w:val="20"/>
                <w:szCs w:val="20"/>
                <w:color w:val="auto"/>
              </w:rPr>
            </w:pPr>
            <w:r>
              <w:rPr>
                <w:rFonts w:ascii="Arial" w:cs="Arial" w:eastAsia="Arial" w:hAnsi="Arial"/>
                <w:sz w:val="14"/>
                <w:szCs w:val="14"/>
                <w:b w:val="1"/>
                <w:bCs w:val="1"/>
                <w:color w:val="auto"/>
                <w:w w:val="96"/>
              </w:rPr>
              <w:t>(In millions, except</w:t>
            </w:r>
          </w:p>
        </w:tc>
        <w:tc>
          <w:tcPr>
            <w:tcW w:w="960" w:type="dxa"/>
            <w:vAlign w:val="bottom"/>
          </w:tcPr>
          <w:p>
            <w:pPr>
              <w:jc w:val="right"/>
              <w:ind w:right="92"/>
              <w:spacing w:after="0" w:line="142" w:lineRule="exact"/>
              <w:rPr>
                <w:sz w:val="20"/>
                <w:szCs w:val="20"/>
                <w:color w:val="auto"/>
              </w:rPr>
            </w:pPr>
            <w:r>
              <w:rPr>
                <w:rFonts w:ascii="Arial" w:cs="Arial" w:eastAsia="Arial" w:hAnsi="Arial"/>
                <w:sz w:val="14"/>
                <w:szCs w:val="14"/>
                <w:b w:val="1"/>
                <w:bCs w:val="1"/>
                <w:color w:val="auto"/>
                <w:w w:val="89"/>
              </w:rPr>
              <w:t>percentages)</w:t>
            </w:r>
          </w:p>
        </w:tc>
        <w:tc>
          <w:tcPr>
            <w:tcW w:w="1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1460" w:type="dxa"/>
            <w:vAlign w:val="bottom"/>
            <w:gridSpan w:val="2"/>
            <w:shd w:val="clear" w:color="auto" w:fill="CCEEFF"/>
          </w:tcPr>
          <w:p>
            <w:pPr>
              <w:ind w:left="1280"/>
              <w:spacing w:after="0"/>
              <w:rPr>
                <w:sz w:val="20"/>
                <w:szCs w:val="20"/>
                <w:color w:val="auto"/>
              </w:rPr>
            </w:pPr>
            <w:r>
              <w:rPr>
                <w:rFonts w:ascii="Arial" w:cs="Arial" w:eastAsia="Arial" w:hAnsi="Arial"/>
                <w:sz w:val="18"/>
                <w:szCs w:val="18"/>
                <w:b w:val="1"/>
                <w:bCs w:val="1"/>
                <w:color w:val="auto"/>
              </w:rPr>
              <w:t>$</w:t>
            </w:r>
          </w:p>
        </w:tc>
        <w:tc>
          <w:tcPr>
            <w:tcW w:w="9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b w:val="1"/>
                <w:bCs w:val="1"/>
                <w:color w:val="auto"/>
              </w:rPr>
              <w:t>233.3</w:t>
            </w:r>
          </w:p>
        </w:tc>
        <w:tc>
          <w:tcPr>
            <w:tcW w:w="760" w:type="dxa"/>
            <w:vAlign w:val="bottom"/>
            <w:gridSpan w:val="2"/>
            <w:shd w:val="clear" w:color="auto" w:fill="CCEEFF"/>
          </w:tcPr>
          <w:p>
            <w:pPr>
              <w:ind w:left="620"/>
              <w:spacing w:after="0"/>
              <w:rPr>
                <w:sz w:val="20"/>
                <w:szCs w:val="20"/>
                <w:color w:val="auto"/>
              </w:rPr>
            </w:pPr>
            <w:r>
              <w:rPr>
                <w:rFonts w:ascii="Arial" w:cs="Arial" w:eastAsia="Arial" w:hAnsi="Arial"/>
                <w:sz w:val="18"/>
                <w:szCs w:val="18"/>
                <w:b w:val="1"/>
                <w:bCs w:val="1"/>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242.6</w:t>
            </w:r>
          </w:p>
        </w:tc>
        <w:tc>
          <w:tcPr>
            <w:tcW w:w="9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(3.8)%</w:t>
            </w:r>
          </w:p>
        </w:tc>
        <w:tc>
          <w:tcPr>
            <w:tcW w:w="0" w:type="dxa"/>
            <w:vAlign w:val="bottom"/>
          </w:tcPr>
          <w:p>
            <w:pPr>
              <w:spacing w:after="0"/>
              <w:rPr>
                <w:sz w:val="1"/>
                <w:szCs w:val="1"/>
                <w:color w:val="auto"/>
              </w:rPr>
            </w:pPr>
          </w:p>
        </w:tc>
      </w:tr>
      <w:tr>
        <w:trPr>
          <w:trHeight w:val="216"/>
        </w:trPr>
        <w:tc>
          <w:tcPr>
            <w:tcW w:w="3540" w:type="dxa"/>
            <w:vAlign w:val="bottom"/>
          </w:tcPr>
          <w:p>
            <w:pPr>
              <w:spacing w:after="0"/>
              <w:rPr>
                <w:sz w:val="20"/>
                <w:szCs w:val="20"/>
                <w:color w:val="auto"/>
              </w:rPr>
            </w:pPr>
            <w:r>
              <w:rPr>
                <w:rFonts w:ascii="Arial" w:cs="Arial" w:eastAsia="Arial" w:hAnsi="Arial"/>
                <w:sz w:val="18"/>
                <w:szCs w:val="18"/>
                <w:color w:val="auto"/>
              </w:rPr>
              <w:t>Cost of product sales and services</w:t>
            </w:r>
          </w:p>
        </w:tc>
        <w:tc>
          <w:tcPr>
            <w:tcW w:w="1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172.4</w:t>
            </w: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b w:val="1"/>
                <w:bCs w:val="1"/>
                <w:color w:val="auto"/>
              </w:rPr>
              <w:t>162.6</w:t>
            </w:r>
          </w:p>
        </w:tc>
        <w:tc>
          <w:tcPr>
            <w:tcW w:w="9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6.0%</w:t>
            </w:r>
          </w:p>
        </w:tc>
        <w:tc>
          <w:tcPr>
            <w:tcW w:w="0" w:type="dxa"/>
            <w:vAlign w:val="bottom"/>
          </w:tcPr>
          <w:p>
            <w:pPr>
              <w:spacing w:after="0"/>
              <w:rPr>
                <w:sz w:val="1"/>
                <w:szCs w:val="1"/>
                <w:color w:val="auto"/>
              </w:rPr>
            </w:pPr>
          </w:p>
        </w:tc>
      </w:tr>
      <w:tr>
        <w:trPr>
          <w:trHeight w:val="216"/>
        </w:trPr>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Gross margin</w:t>
            </w:r>
          </w:p>
        </w:tc>
        <w:tc>
          <w:tcPr>
            <w:tcW w:w="1460" w:type="dxa"/>
            <w:vAlign w:val="bottom"/>
            <w:gridSpan w:val="2"/>
            <w:shd w:val="clear" w:color="auto" w:fill="CCEEFF"/>
          </w:tcPr>
          <w:p>
            <w:pPr>
              <w:ind w:left="1280"/>
              <w:spacing w:after="0"/>
              <w:rPr>
                <w:sz w:val="20"/>
                <w:szCs w:val="20"/>
                <w:color w:val="auto"/>
              </w:rPr>
            </w:pPr>
            <w:r>
              <w:rPr>
                <w:rFonts w:ascii="Arial" w:cs="Arial" w:eastAsia="Arial" w:hAnsi="Arial"/>
                <w:sz w:val="18"/>
                <w:szCs w:val="18"/>
                <w:b w:val="1"/>
                <w:bCs w:val="1"/>
                <w:color w:val="auto"/>
              </w:rPr>
              <w:t>$</w:t>
            </w:r>
          </w:p>
        </w:tc>
        <w:tc>
          <w:tcPr>
            <w:tcW w:w="9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b w:val="1"/>
                <w:bCs w:val="1"/>
                <w:color w:val="auto"/>
              </w:rPr>
              <w:t>60.9</w:t>
            </w:r>
          </w:p>
        </w:tc>
        <w:tc>
          <w:tcPr>
            <w:tcW w:w="760" w:type="dxa"/>
            <w:vAlign w:val="bottom"/>
            <w:gridSpan w:val="2"/>
            <w:shd w:val="clear" w:color="auto" w:fill="CCEEFF"/>
          </w:tcPr>
          <w:p>
            <w:pPr>
              <w:ind w:left="620"/>
              <w:spacing w:after="0"/>
              <w:rPr>
                <w:sz w:val="20"/>
                <w:szCs w:val="20"/>
                <w:color w:val="auto"/>
              </w:rPr>
            </w:pPr>
            <w:r>
              <w:rPr>
                <w:rFonts w:ascii="Arial" w:cs="Arial" w:eastAsia="Arial" w:hAnsi="Arial"/>
                <w:sz w:val="18"/>
                <w:szCs w:val="18"/>
                <w:b w:val="1"/>
                <w:bCs w:val="1"/>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80.0</w:t>
            </w:r>
          </w:p>
        </w:tc>
        <w:tc>
          <w:tcPr>
            <w:tcW w:w="9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(23.9)%</w:t>
            </w:r>
          </w:p>
        </w:tc>
        <w:tc>
          <w:tcPr>
            <w:tcW w:w="0" w:type="dxa"/>
            <w:vAlign w:val="bottom"/>
          </w:tcPr>
          <w:p>
            <w:pPr>
              <w:spacing w:after="0"/>
              <w:rPr>
                <w:sz w:val="1"/>
                <w:szCs w:val="1"/>
                <w:color w:val="auto"/>
              </w:rPr>
            </w:pPr>
          </w:p>
        </w:tc>
      </w:tr>
      <w:tr>
        <w:trPr>
          <w:trHeight w:val="228"/>
        </w:trPr>
        <w:tc>
          <w:tcPr>
            <w:tcW w:w="3540" w:type="dxa"/>
            <w:vAlign w:val="bottom"/>
          </w:tcPr>
          <w:p>
            <w:pPr>
              <w:spacing w:after="0"/>
              <w:rPr>
                <w:sz w:val="20"/>
                <w:szCs w:val="20"/>
                <w:color w:val="auto"/>
              </w:rPr>
            </w:pPr>
            <w:r>
              <w:rPr>
                <w:rFonts w:ascii="Arial" w:cs="Arial" w:eastAsia="Arial" w:hAnsi="Arial"/>
                <w:sz w:val="18"/>
                <w:szCs w:val="18"/>
                <w:color w:val="auto"/>
              </w:rPr>
              <w:t>% of revenue</w:t>
            </w:r>
          </w:p>
        </w:tc>
        <w:tc>
          <w:tcPr>
            <w:tcW w:w="1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26.1%</w:t>
            </w: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gridSpan w:val="2"/>
          </w:tcPr>
          <w:p>
            <w:pPr>
              <w:jc w:val="right"/>
              <w:ind w:right="712"/>
              <w:spacing w:after="0"/>
              <w:rPr>
                <w:sz w:val="20"/>
                <w:szCs w:val="20"/>
                <w:color w:val="auto"/>
              </w:rPr>
            </w:pPr>
            <w:r>
              <w:rPr>
                <w:rFonts w:ascii="Arial" w:cs="Arial" w:eastAsia="Arial" w:hAnsi="Arial"/>
                <w:sz w:val="18"/>
                <w:szCs w:val="18"/>
                <w:b w:val="1"/>
                <w:bCs w:val="1"/>
                <w:color w:val="auto"/>
              </w:rPr>
              <w:t>33.0%</w:t>
            </w:r>
          </w:p>
        </w:tc>
        <w:tc>
          <w:tcPr>
            <w:tcW w:w="1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99"/>
        </w:trPr>
        <w:tc>
          <w:tcPr>
            <w:tcW w:w="3540" w:type="dxa"/>
            <w:vAlign w:val="bottom"/>
          </w:tcPr>
          <w:p>
            <w:pPr>
              <w:spacing w:after="0"/>
              <w:rPr>
                <w:sz w:val="24"/>
                <w:szCs w:val="24"/>
                <w:color w:val="auto"/>
              </w:rPr>
            </w:pPr>
          </w:p>
        </w:tc>
        <w:tc>
          <w:tcPr>
            <w:tcW w:w="1460" w:type="dxa"/>
            <w:vAlign w:val="bottom"/>
            <w:gridSpan w:val="2"/>
          </w:tcPr>
          <w:p>
            <w:pPr>
              <w:jc w:val="right"/>
              <w:ind w:right="52"/>
              <w:spacing w:after="0"/>
              <w:rPr>
                <w:sz w:val="20"/>
                <w:szCs w:val="20"/>
                <w:color w:val="auto"/>
              </w:rPr>
            </w:pPr>
            <w:r>
              <w:rPr>
                <w:rFonts w:ascii="Arial" w:cs="Arial" w:eastAsia="Arial" w:hAnsi="Arial"/>
                <w:sz w:val="18"/>
                <w:szCs w:val="18"/>
                <w:color w:val="auto"/>
              </w:rPr>
              <w:t>24</w:t>
            </w:r>
          </w:p>
        </w:tc>
        <w:tc>
          <w:tcPr>
            <w:tcW w:w="6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459" w:right="25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Compared to the first two quarters of fiscal 2010, our gross margin decreased in the same period of fiscal 2011. Gross margin in the first two quarters of fiscal 2011 was negatively impacted by lower gross margin from sales of our WiMAX products. In addition, we continue to experience pricing pressures in all markets, particularly where we compete for the business of large, carrier customers, especially in EMER and Africa. In these markets we continue to see customer consolidation through mergers or acquisitions, leading to fewer, but larger customers. In those cases, vendors vigorously compete to retain market share, often resulting in significant price erosion. In North America, we find price competition for the large carrier business as intense as we do in other markets. In order to counter pricing pressures, we continue to invest in product improvements to reduce unit costs and to negotiate favorable pricing with our suppliers.</w:t>
      </w:r>
    </w:p>
    <w:p>
      <w:pPr>
        <w:spacing w:after="0" w:line="120"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Prior to fiscal 2011, we capitalized most of the costs associated with our internal manufacturing operations as a component of the overall cost of product inventory. Beginning in the first quarter of fiscal 2011, the manufacturing of our products was handled primarily by contract manufacturers with the intent to complete all activity transfer by the end of fiscal 2011. Accordingly, the costs associated with our internal operations organization are now expensed as incurred. Gross margin in the first half of fiscal 2011 was negatively impacted by the immediate expensing of $6.0 million of such costs in the first quarter of fiscal 2011. During the second quarter of fiscal 2011, due to a contract manufacturer closing a facility, we chose to bring final assembly of our current products for North America into our own facility temporarily while we continued to work on transfer of these activities to another contract manufacturer. We intend to have this final assembly activity transition to a new contract manufacturer by the end of fiscal 2011.</w:t>
      </w:r>
    </w:p>
    <w:p>
      <w:pPr>
        <w:spacing w:after="0" w:line="118"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Gross margin in the first two quarters of fiscal 2010 was substantially enhanced by favorable pricing with certain customers in the Middle East, which were not repeated in the same period of fiscal 2011.</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207"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48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gridSpan w:val="4"/>
          </w:tcPr>
          <w:p>
            <w:pPr>
              <w:ind w:left="400"/>
              <w:spacing w:after="0"/>
              <w:rPr>
                <w:sz w:val="20"/>
                <w:szCs w:val="20"/>
                <w:color w:val="auto"/>
              </w:rPr>
            </w:pPr>
            <w:r>
              <w:rPr>
                <w:rFonts w:ascii="Arial" w:cs="Arial" w:eastAsia="Arial" w:hAnsi="Arial"/>
                <w:sz w:val="14"/>
                <w:szCs w:val="14"/>
                <w:b w:val="1"/>
                <w:bCs w:val="1"/>
                <w:color w:val="auto"/>
                <w:w w:val="91"/>
              </w:rPr>
              <w:t>Two Quarters Ended</w:t>
            </w:r>
          </w:p>
        </w:tc>
        <w:tc>
          <w:tcPr>
            <w:tcW w:w="500" w:type="dxa"/>
            <w:vAlign w:val="bottom"/>
            <w:tcBorders>
              <w:bottom w:val="single" w:sz="8" w:color="auto"/>
            </w:tcBorders>
          </w:tcPr>
          <w:p>
            <w:pPr>
              <w:spacing w:after="0"/>
              <w:rPr>
                <w:sz w:val="14"/>
                <w:szCs w:val="14"/>
                <w:color w:val="auto"/>
              </w:rPr>
            </w:pPr>
          </w:p>
        </w:tc>
        <w:tc>
          <w:tcPr>
            <w:tcW w:w="920" w:type="dxa"/>
            <w:vAlign w:val="bottom"/>
          </w:tcPr>
          <w:p>
            <w:pPr>
              <w:spacing w:after="0"/>
              <w:rPr>
                <w:sz w:val="14"/>
                <w:szCs w:val="14"/>
                <w:color w:val="auto"/>
              </w:rPr>
            </w:pPr>
          </w:p>
        </w:tc>
        <w:tc>
          <w:tcPr>
            <w:tcW w:w="142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82"/>
              </w:rPr>
              <w:t>Percentage</w:t>
            </w:r>
          </w:p>
        </w:tc>
        <w:tc>
          <w:tcPr>
            <w:tcW w:w="0" w:type="dxa"/>
            <w:vAlign w:val="bottom"/>
          </w:tcPr>
          <w:p>
            <w:pPr>
              <w:spacing w:after="0"/>
              <w:rPr>
                <w:sz w:val="1"/>
                <w:szCs w:val="1"/>
                <w:color w:val="auto"/>
              </w:rPr>
            </w:pPr>
          </w:p>
        </w:tc>
      </w:tr>
      <w:tr>
        <w:trPr>
          <w:trHeight w:val="129"/>
        </w:trPr>
        <w:tc>
          <w:tcPr>
            <w:tcW w:w="4880" w:type="dxa"/>
            <w:vAlign w:val="bottom"/>
          </w:tcPr>
          <w:p>
            <w:pPr>
              <w:spacing w:after="0"/>
              <w:rPr>
                <w:sz w:val="11"/>
                <w:szCs w:val="11"/>
                <w:color w:val="auto"/>
              </w:rPr>
            </w:pPr>
          </w:p>
        </w:tc>
        <w:tc>
          <w:tcPr>
            <w:tcW w:w="112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December 31,</w:t>
            </w:r>
          </w:p>
        </w:tc>
        <w:tc>
          <w:tcPr>
            <w:tcW w:w="620" w:type="dxa"/>
            <w:vAlign w:val="bottom"/>
          </w:tcPr>
          <w:p>
            <w:pPr>
              <w:spacing w:after="0"/>
              <w:rPr>
                <w:sz w:val="11"/>
                <w:szCs w:val="11"/>
                <w:color w:val="auto"/>
              </w:rPr>
            </w:pPr>
          </w:p>
        </w:tc>
        <w:tc>
          <w:tcPr>
            <w:tcW w:w="62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w w:val="86"/>
              </w:rPr>
              <w:t>January 1,</w:t>
            </w:r>
          </w:p>
        </w:tc>
        <w:tc>
          <w:tcPr>
            <w:tcW w:w="920" w:type="dxa"/>
            <w:vAlign w:val="bottom"/>
          </w:tcPr>
          <w:p>
            <w:pPr>
              <w:spacing w:after="0"/>
              <w:rPr>
                <w:sz w:val="11"/>
                <w:szCs w:val="11"/>
                <w:color w:val="auto"/>
              </w:rPr>
            </w:pPr>
          </w:p>
        </w:tc>
        <w:tc>
          <w:tcPr>
            <w:tcW w:w="142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48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80"/>
              <w:spacing w:after="0"/>
              <w:rPr>
                <w:sz w:val="20"/>
                <w:szCs w:val="20"/>
                <w:color w:val="auto"/>
              </w:rPr>
            </w:pPr>
            <w:r>
              <w:rPr>
                <w:rFonts w:ascii="Arial" w:cs="Arial" w:eastAsia="Arial" w:hAnsi="Arial"/>
                <w:sz w:val="14"/>
                <w:szCs w:val="14"/>
                <w:b w:val="1"/>
                <w:bCs w:val="1"/>
                <w:color w:val="auto"/>
              </w:rPr>
              <w:t>2010</w:t>
            </w:r>
          </w:p>
        </w:tc>
        <w:tc>
          <w:tcPr>
            <w:tcW w:w="3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97"/>
              <w:spacing w:after="0"/>
              <w:rPr>
                <w:sz w:val="20"/>
                <w:szCs w:val="20"/>
                <w:color w:val="auto"/>
              </w:rPr>
            </w:pPr>
            <w:r>
              <w:rPr>
                <w:rFonts w:ascii="Arial" w:cs="Arial" w:eastAsia="Arial" w:hAnsi="Arial"/>
                <w:sz w:val="14"/>
                <w:szCs w:val="14"/>
                <w:b w:val="1"/>
                <w:bCs w:val="1"/>
                <w:color w:val="auto"/>
                <w:w w:val="96"/>
              </w:rPr>
              <w:t>2010</w:t>
            </w:r>
          </w:p>
        </w:tc>
        <w:tc>
          <w:tcPr>
            <w:tcW w:w="920" w:type="dxa"/>
            <w:vAlign w:val="bottom"/>
          </w:tcPr>
          <w:p>
            <w:pPr>
              <w:spacing w:after="0"/>
              <w:rPr>
                <w:sz w:val="14"/>
                <w:szCs w:val="14"/>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6"/>
              </w:rPr>
              <w:t>Increase/(Decrease)</w:t>
            </w: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8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40" w:type="dxa"/>
            <w:vAlign w:val="bottom"/>
            <w:gridSpan w:val="3"/>
          </w:tcPr>
          <w:p>
            <w:pPr>
              <w:jc w:val="right"/>
              <w:spacing w:after="0" w:line="142" w:lineRule="exact"/>
              <w:rPr>
                <w:sz w:val="20"/>
                <w:szCs w:val="20"/>
                <w:color w:val="auto"/>
              </w:rPr>
            </w:pPr>
            <w:r>
              <w:rPr>
                <w:rFonts w:ascii="Arial" w:cs="Arial" w:eastAsia="Arial" w:hAnsi="Arial"/>
                <w:sz w:val="14"/>
                <w:szCs w:val="14"/>
                <w:b w:val="1"/>
                <w:bCs w:val="1"/>
                <w:color w:val="auto"/>
                <w:w w:val="96"/>
              </w:rPr>
              <w:t>(In millions, except</w:t>
            </w:r>
          </w:p>
        </w:tc>
        <w:tc>
          <w:tcPr>
            <w:tcW w:w="920" w:type="dxa"/>
            <w:vAlign w:val="bottom"/>
          </w:tcPr>
          <w:p>
            <w:pPr>
              <w:jc w:val="right"/>
              <w:ind w:right="72"/>
              <w:spacing w:after="0" w:line="142" w:lineRule="exact"/>
              <w:rPr>
                <w:sz w:val="20"/>
                <w:szCs w:val="20"/>
                <w:color w:val="auto"/>
              </w:rPr>
            </w:pPr>
            <w:r>
              <w:rPr>
                <w:rFonts w:ascii="Arial" w:cs="Arial" w:eastAsia="Arial" w:hAnsi="Arial"/>
                <w:sz w:val="14"/>
                <w:szCs w:val="14"/>
                <w:b w:val="1"/>
                <w:bCs w:val="1"/>
                <w:color w:val="auto"/>
                <w:w w:val="87"/>
              </w:rPr>
              <w:t>percentages)</w:t>
            </w:r>
          </w:p>
        </w:tc>
        <w:tc>
          <w:tcPr>
            <w:tcW w:w="1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233.3</w:t>
            </w:r>
          </w:p>
        </w:tc>
        <w:tc>
          <w:tcPr>
            <w:tcW w:w="740" w:type="dxa"/>
            <w:vAlign w:val="bottom"/>
            <w:gridSpan w:val="2"/>
            <w:shd w:val="clear" w:color="auto" w:fill="CCEEFF"/>
          </w:tcPr>
          <w:p>
            <w:pPr>
              <w:ind w:left="620"/>
              <w:spacing w:after="0"/>
              <w:rPr>
                <w:sz w:val="20"/>
                <w:szCs w:val="20"/>
                <w:color w:val="auto"/>
              </w:rPr>
            </w:pPr>
            <w:r>
              <w:rPr>
                <w:rFonts w:ascii="Arial" w:cs="Arial" w:eastAsia="Arial" w:hAnsi="Arial"/>
                <w:sz w:val="18"/>
                <w:szCs w:val="18"/>
                <w:b w:val="1"/>
                <w:bCs w:val="1"/>
                <w:color w:val="auto"/>
                <w:w w:val="9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242.6</w:t>
            </w:r>
          </w:p>
        </w:tc>
        <w:tc>
          <w:tcPr>
            <w:tcW w:w="9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(3.8)%</w:t>
            </w:r>
          </w:p>
        </w:tc>
        <w:tc>
          <w:tcPr>
            <w:tcW w:w="0" w:type="dxa"/>
            <w:vAlign w:val="bottom"/>
          </w:tcPr>
          <w:p>
            <w:pPr>
              <w:spacing w:after="0"/>
              <w:rPr>
                <w:sz w:val="1"/>
                <w:szCs w:val="1"/>
                <w:color w:val="auto"/>
              </w:rPr>
            </w:pPr>
          </w:p>
        </w:tc>
      </w:tr>
      <w:tr>
        <w:trPr>
          <w:trHeight w:val="216"/>
        </w:trPr>
        <w:tc>
          <w:tcPr>
            <w:tcW w:w="4880" w:type="dxa"/>
            <w:vAlign w:val="bottom"/>
          </w:tcPr>
          <w:p>
            <w:pPr>
              <w:spacing w:after="0"/>
              <w:rPr>
                <w:sz w:val="20"/>
                <w:szCs w:val="20"/>
                <w:color w:val="auto"/>
              </w:rPr>
            </w:pPr>
            <w:r>
              <w:rPr>
                <w:rFonts w:ascii="Arial" w:cs="Arial" w:eastAsia="Arial" w:hAnsi="Arial"/>
                <w:sz w:val="18"/>
                <w:szCs w:val="18"/>
                <w:color w:val="auto"/>
              </w:rPr>
              <w:t>Research and development expenses</w:t>
            </w:r>
          </w:p>
        </w:tc>
        <w:tc>
          <w:tcPr>
            <w:tcW w:w="180" w:type="dxa"/>
            <w:vAlign w:val="bottom"/>
          </w:tcPr>
          <w:p>
            <w:pPr>
              <w:spacing w:after="0"/>
              <w:rPr>
                <w:sz w:val="20"/>
                <w:szCs w:val="20"/>
                <w:color w:val="auto"/>
              </w:rPr>
            </w:pPr>
            <w:r>
              <w:rPr>
                <w:rFonts w:ascii="Arial" w:cs="Arial" w:eastAsia="Arial" w:hAnsi="Arial"/>
                <w:sz w:val="18"/>
                <w:szCs w:val="18"/>
                <w:b w:val="1"/>
                <w:bCs w:val="1"/>
                <w:color w:val="auto"/>
              </w:rPr>
              <w:t>$</w:t>
            </w:r>
          </w:p>
        </w:tc>
        <w:tc>
          <w:tcPr>
            <w:tcW w:w="94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23.2</w:t>
            </w:r>
          </w:p>
        </w:tc>
        <w:tc>
          <w:tcPr>
            <w:tcW w:w="740" w:type="dxa"/>
            <w:vAlign w:val="bottom"/>
            <w:gridSpan w:val="2"/>
          </w:tcPr>
          <w:p>
            <w:pPr>
              <w:ind w:left="620"/>
              <w:spacing w:after="0"/>
              <w:rPr>
                <w:sz w:val="20"/>
                <w:szCs w:val="20"/>
                <w:color w:val="auto"/>
              </w:rPr>
            </w:pPr>
            <w:r>
              <w:rPr>
                <w:rFonts w:ascii="Arial" w:cs="Arial" w:eastAsia="Arial" w:hAnsi="Arial"/>
                <w:sz w:val="18"/>
                <w:szCs w:val="18"/>
                <w:b w:val="1"/>
                <w:bCs w:val="1"/>
                <w:color w:val="auto"/>
                <w:w w:val="99"/>
              </w:rPr>
              <w:t>$</w:t>
            </w: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rPr>
              <w:t>20.8</w:t>
            </w:r>
          </w:p>
        </w:tc>
        <w:tc>
          <w:tcPr>
            <w:tcW w:w="92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11.5%</w:t>
            </w:r>
          </w:p>
        </w:tc>
        <w:tc>
          <w:tcPr>
            <w:tcW w:w="0" w:type="dxa"/>
            <w:vAlign w:val="bottom"/>
          </w:tcPr>
          <w:p>
            <w:pPr>
              <w:spacing w:after="0"/>
              <w:rPr>
                <w:sz w:val="1"/>
                <w:szCs w:val="1"/>
                <w:color w:val="auto"/>
              </w:rPr>
            </w:pPr>
          </w:p>
        </w:tc>
      </w:tr>
      <w:tr>
        <w:trPr>
          <w:trHeight w:val="216"/>
        </w:trPr>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 of revenue</w:t>
            </w: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9.9%</w:t>
            </w: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92"/>
              <w:spacing w:after="0"/>
              <w:rPr>
                <w:sz w:val="20"/>
                <w:szCs w:val="20"/>
                <w:color w:val="auto"/>
              </w:rPr>
            </w:pPr>
            <w:r>
              <w:rPr>
                <w:rFonts w:ascii="Arial" w:cs="Arial" w:eastAsia="Arial" w:hAnsi="Arial"/>
                <w:sz w:val="18"/>
                <w:szCs w:val="18"/>
                <w:b w:val="1"/>
                <w:bCs w:val="1"/>
                <w:color w:val="auto"/>
              </w:rPr>
              <w:t>8.6%</w:t>
            </w:r>
          </w:p>
        </w:tc>
        <w:tc>
          <w:tcPr>
            <w:tcW w:w="1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5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increase in R&amp;D expenses in the first two quarters of fiscal 2011 compared with the first two quarters of fiscal 2010 was primarily attributable to a</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$0.7 million increase of share-based compensation related to the performance share vesting upon the achievement of new product development milestone during</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the second quarter of fiscal 2011, as well as investments in new product innovation.</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and Administrative Expense</w:t>
      </w:r>
    </w:p>
    <w:p>
      <w:pPr>
        <w:spacing w:after="0" w:line="207"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37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gridSpan w:val="4"/>
          </w:tcPr>
          <w:p>
            <w:pPr>
              <w:ind w:left="400"/>
              <w:spacing w:after="0"/>
              <w:rPr>
                <w:sz w:val="20"/>
                <w:szCs w:val="20"/>
                <w:color w:val="auto"/>
              </w:rPr>
            </w:pPr>
            <w:r>
              <w:rPr>
                <w:rFonts w:ascii="Arial" w:cs="Arial" w:eastAsia="Arial" w:hAnsi="Arial"/>
                <w:sz w:val="14"/>
                <w:szCs w:val="14"/>
                <w:b w:val="1"/>
                <w:bCs w:val="1"/>
                <w:color w:val="auto"/>
                <w:w w:val="91"/>
              </w:rPr>
              <w:t>Two Quarters Ended</w:t>
            </w:r>
          </w:p>
        </w:tc>
        <w:tc>
          <w:tcPr>
            <w:tcW w:w="500" w:type="dxa"/>
            <w:vAlign w:val="bottom"/>
            <w:tcBorders>
              <w:bottom w:val="single" w:sz="8" w:color="auto"/>
            </w:tcBorders>
          </w:tcPr>
          <w:p>
            <w:pPr>
              <w:spacing w:after="0"/>
              <w:rPr>
                <w:sz w:val="14"/>
                <w:szCs w:val="14"/>
                <w:color w:val="auto"/>
              </w:rPr>
            </w:pPr>
          </w:p>
        </w:tc>
        <w:tc>
          <w:tcPr>
            <w:tcW w:w="940" w:type="dxa"/>
            <w:vAlign w:val="bottom"/>
          </w:tcPr>
          <w:p>
            <w:pPr>
              <w:spacing w:after="0"/>
              <w:rPr>
                <w:sz w:val="14"/>
                <w:szCs w:val="14"/>
                <w:color w:val="auto"/>
              </w:rPr>
            </w:pPr>
          </w:p>
        </w:tc>
        <w:tc>
          <w:tcPr>
            <w:tcW w:w="142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82"/>
              </w:rPr>
              <w:t>Percentage</w:t>
            </w:r>
          </w:p>
        </w:tc>
        <w:tc>
          <w:tcPr>
            <w:tcW w:w="0" w:type="dxa"/>
            <w:vAlign w:val="bottom"/>
          </w:tcPr>
          <w:p>
            <w:pPr>
              <w:spacing w:after="0"/>
              <w:rPr>
                <w:sz w:val="1"/>
                <w:szCs w:val="1"/>
                <w:color w:val="auto"/>
              </w:rPr>
            </w:pPr>
          </w:p>
        </w:tc>
      </w:tr>
      <w:tr>
        <w:trPr>
          <w:trHeight w:val="129"/>
        </w:trPr>
        <w:tc>
          <w:tcPr>
            <w:tcW w:w="37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140" w:type="dxa"/>
            <w:vAlign w:val="bottom"/>
            <w:gridSpan w:val="3"/>
          </w:tcPr>
          <w:p>
            <w:pPr>
              <w:ind w:left="20"/>
              <w:spacing w:after="0" w:line="129" w:lineRule="exact"/>
              <w:rPr>
                <w:sz w:val="20"/>
                <w:szCs w:val="20"/>
                <w:color w:val="auto"/>
              </w:rPr>
            </w:pPr>
            <w:r>
              <w:rPr>
                <w:rFonts w:ascii="Arial" w:cs="Arial" w:eastAsia="Arial" w:hAnsi="Arial"/>
                <w:sz w:val="14"/>
                <w:szCs w:val="14"/>
                <w:b w:val="1"/>
                <w:bCs w:val="1"/>
                <w:color w:val="auto"/>
              </w:rPr>
              <w:t>December 31,</w:t>
            </w:r>
          </w:p>
        </w:tc>
        <w:tc>
          <w:tcPr>
            <w:tcW w:w="600" w:type="dxa"/>
            <w:vAlign w:val="bottom"/>
          </w:tcPr>
          <w:p>
            <w:pPr>
              <w:spacing w:after="0"/>
              <w:rPr>
                <w:sz w:val="11"/>
                <w:szCs w:val="11"/>
                <w:color w:val="auto"/>
              </w:rPr>
            </w:pPr>
          </w:p>
        </w:tc>
        <w:tc>
          <w:tcPr>
            <w:tcW w:w="62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w w:val="86"/>
              </w:rPr>
              <w:t>January 1,</w:t>
            </w:r>
          </w:p>
        </w:tc>
        <w:tc>
          <w:tcPr>
            <w:tcW w:w="940" w:type="dxa"/>
            <w:vAlign w:val="bottom"/>
          </w:tcPr>
          <w:p>
            <w:pPr>
              <w:spacing w:after="0"/>
              <w:rPr>
                <w:sz w:val="11"/>
                <w:szCs w:val="11"/>
                <w:color w:val="auto"/>
              </w:rPr>
            </w:pPr>
          </w:p>
        </w:tc>
        <w:tc>
          <w:tcPr>
            <w:tcW w:w="142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37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80"/>
              <w:spacing w:after="0"/>
              <w:rPr>
                <w:sz w:val="20"/>
                <w:szCs w:val="20"/>
                <w:color w:val="auto"/>
              </w:rPr>
            </w:pPr>
            <w:r>
              <w:rPr>
                <w:rFonts w:ascii="Arial" w:cs="Arial" w:eastAsia="Arial" w:hAnsi="Arial"/>
                <w:sz w:val="14"/>
                <w:szCs w:val="14"/>
                <w:b w:val="1"/>
                <w:bCs w:val="1"/>
                <w:color w:val="auto"/>
              </w:rPr>
              <w:t>2010</w:t>
            </w:r>
          </w:p>
        </w:tc>
        <w:tc>
          <w:tcPr>
            <w:tcW w:w="3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97"/>
              <w:spacing w:after="0"/>
              <w:rPr>
                <w:sz w:val="20"/>
                <w:szCs w:val="20"/>
                <w:color w:val="auto"/>
              </w:rPr>
            </w:pPr>
            <w:r>
              <w:rPr>
                <w:rFonts w:ascii="Arial" w:cs="Arial" w:eastAsia="Arial" w:hAnsi="Arial"/>
                <w:sz w:val="14"/>
                <w:szCs w:val="14"/>
                <w:b w:val="1"/>
                <w:bCs w:val="1"/>
                <w:color w:val="auto"/>
                <w:w w:val="96"/>
              </w:rPr>
              <w:t>2010</w:t>
            </w:r>
          </w:p>
        </w:tc>
        <w:tc>
          <w:tcPr>
            <w:tcW w:w="940" w:type="dxa"/>
            <w:vAlign w:val="bottom"/>
          </w:tcPr>
          <w:p>
            <w:pPr>
              <w:spacing w:after="0"/>
              <w:rPr>
                <w:sz w:val="14"/>
                <w:szCs w:val="14"/>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6"/>
              </w:rPr>
              <w:t>Increase/(Decrease)</w:t>
            </w: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7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20" w:type="dxa"/>
            <w:vAlign w:val="bottom"/>
            <w:gridSpan w:val="3"/>
          </w:tcPr>
          <w:p>
            <w:pPr>
              <w:jc w:val="right"/>
              <w:spacing w:after="0" w:line="142" w:lineRule="exact"/>
              <w:rPr>
                <w:sz w:val="20"/>
                <w:szCs w:val="20"/>
                <w:color w:val="auto"/>
              </w:rPr>
            </w:pPr>
            <w:r>
              <w:rPr>
                <w:rFonts w:ascii="Arial" w:cs="Arial" w:eastAsia="Arial" w:hAnsi="Arial"/>
                <w:sz w:val="14"/>
                <w:szCs w:val="14"/>
                <w:b w:val="1"/>
                <w:bCs w:val="1"/>
                <w:color w:val="auto"/>
                <w:w w:val="95"/>
              </w:rPr>
              <w:t>(In millions, except</w:t>
            </w:r>
          </w:p>
        </w:tc>
        <w:tc>
          <w:tcPr>
            <w:tcW w:w="940" w:type="dxa"/>
            <w:vAlign w:val="bottom"/>
          </w:tcPr>
          <w:p>
            <w:pPr>
              <w:jc w:val="right"/>
              <w:ind w:right="72"/>
              <w:spacing w:after="0" w:line="142" w:lineRule="exact"/>
              <w:rPr>
                <w:sz w:val="20"/>
                <w:szCs w:val="20"/>
                <w:color w:val="auto"/>
              </w:rPr>
            </w:pPr>
            <w:r>
              <w:rPr>
                <w:rFonts w:ascii="Arial" w:cs="Arial" w:eastAsia="Arial" w:hAnsi="Arial"/>
                <w:sz w:val="14"/>
                <w:szCs w:val="14"/>
                <w:b w:val="1"/>
                <w:bCs w:val="1"/>
                <w:color w:val="auto"/>
                <w:w w:val="89"/>
              </w:rPr>
              <w:t>percentages)</w:t>
            </w:r>
          </w:p>
        </w:tc>
        <w:tc>
          <w:tcPr>
            <w:tcW w:w="1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1340" w:type="dxa"/>
            <w:vAlign w:val="bottom"/>
            <w:gridSpan w:val="2"/>
            <w:shd w:val="clear" w:color="auto" w:fill="CCEEFF"/>
          </w:tcPr>
          <w:p>
            <w:pPr>
              <w:ind w:left="1160"/>
              <w:spacing w:after="0"/>
              <w:rPr>
                <w:sz w:val="20"/>
                <w:szCs w:val="20"/>
                <w:color w:val="auto"/>
              </w:rPr>
            </w:pPr>
            <w:r>
              <w:rPr>
                <w:rFonts w:ascii="Arial" w:cs="Arial" w:eastAsia="Arial" w:hAnsi="Arial"/>
                <w:sz w:val="18"/>
                <w:szCs w:val="18"/>
                <w:b w:val="1"/>
                <w:bCs w:val="1"/>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233.3</w:t>
            </w:r>
          </w:p>
        </w:tc>
        <w:tc>
          <w:tcPr>
            <w:tcW w:w="3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600"/>
              <w:spacing w:after="0"/>
              <w:rPr>
                <w:sz w:val="20"/>
                <w:szCs w:val="20"/>
                <w:color w:val="auto"/>
              </w:rPr>
            </w:pPr>
            <w:r>
              <w:rPr>
                <w:rFonts w:ascii="Arial" w:cs="Arial" w:eastAsia="Arial" w:hAnsi="Arial"/>
                <w:sz w:val="18"/>
                <w:szCs w:val="18"/>
                <w:b w:val="1"/>
                <w:bCs w:val="1"/>
                <w:color w:val="auto"/>
                <w:w w:val="99"/>
              </w:rPr>
              <w:t>$</w:t>
            </w:r>
          </w:p>
        </w:tc>
        <w:tc>
          <w:tcPr>
            <w:tcW w:w="1440" w:type="dxa"/>
            <w:vAlign w:val="bottom"/>
            <w:gridSpan w:val="2"/>
            <w:shd w:val="clear" w:color="auto" w:fill="CCEEFF"/>
          </w:tcPr>
          <w:p>
            <w:pPr>
              <w:jc w:val="right"/>
              <w:ind w:right="872"/>
              <w:spacing w:after="0"/>
              <w:rPr>
                <w:sz w:val="20"/>
                <w:szCs w:val="20"/>
                <w:color w:val="auto"/>
              </w:rPr>
            </w:pPr>
            <w:r>
              <w:rPr>
                <w:rFonts w:ascii="Arial" w:cs="Arial" w:eastAsia="Arial" w:hAnsi="Arial"/>
                <w:sz w:val="18"/>
                <w:szCs w:val="18"/>
                <w:b w:val="1"/>
                <w:bCs w:val="1"/>
                <w:color w:val="auto"/>
              </w:rPr>
              <w:t>242.6</w:t>
            </w:r>
          </w:p>
        </w:tc>
        <w:tc>
          <w:tcPr>
            <w:tcW w:w="14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(3.8)%</w:t>
            </w:r>
          </w:p>
        </w:tc>
        <w:tc>
          <w:tcPr>
            <w:tcW w:w="0" w:type="dxa"/>
            <w:vAlign w:val="bottom"/>
          </w:tcPr>
          <w:p>
            <w:pPr>
              <w:spacing w:after="0"/>
              <w:rPr>
                <w:sz w:val="1"/>
                <w:szCs w:val="1"/>
                <w:color w:val="auto"/>
              </w:rPr>
            </w:pPr>
          </w:p>
        </w:tc>
      </w:tr>
      <w:tr>
        <w:trPr>
          <w:trHeight w:val="216"/>
        </w:trPr>
        <w:tc>
          <w:tcPr>
            <w:tcW w:w="3700" w:type="dxa"/>
            <w:vAlign w:val="bottom"/>
          </w:tcPr>
          <w:p>
            <w:pPr>
              <w:spacing w:after="0"/>
              <w:rPr>
                <w:sz w:val="20"/>
                <w:szCs w:val="20"/>
                <w:color w:val="auto"/>
              </w:rPr>
            </w:pPr>
            <w:r>
              <w:rPr>
                <w:rFonts w:ascii="Arial" w:cs="Arial" w:eastAsia="Arial" w:hAnsi="Arial"/>
                <w:sz w:val="18"/>
                <w:szCs w:val="18"/>
                <w:color w:val="auto"/>
              </w:rPr>
              <w:t>Selling and administrative expenses</w:t>
            </w:r>
          </w:p>
        </w:tc>
        <w:tc>
          <w:tcPr>
            <w:tcW w:w="1340" w:type="dxa"/>
            <w:vAlign w:val="bottom"/>
            <w:gridSpan w:val="2"/>
          </w:tcPr>
          <w:p>
            <w:pPr>
              <w:ind w:left="1160"/>
              <w:spacing w:after="0"/>
              <w:rPr>
                <w:sz w:val="20"/>
                <w:szCs w:val="20"/>
                <w:color w:val="auto"/>
              </w:rPr>
            </w:pPr>
            <w:r>
              <w:rPr>
                <w:rFonts w:ascii="Arial" w:cs="Arial" w:eastAsia="Arial" w:hAnsi="Arial"/>
                <w:sz w:val="18"/>
                <w:szCs w:val="18"/>
                <w:b w:val="1"/>
                <w:bCs w:val="1"/>
                <w:color w:val="auto"/>
              </w:rPr>
              <w:t>$</w:t>
            </w:r>
          </w:p>
        </w:tc>
        <w:tc>
          <w:tcPr>
            <w:tcW w:w="620" w:type="dxa"/>
            <w:vAlign w:val="bottom"/>
          </w:tcPr>
          <w:p>
            <w:pPr>
              <w:jc w:val="right"/>
              <w:spacing w:after="0"/>
              <w:rPr>
                <w:sz w:val="20"/>
                <w:szCs w:val="20"/>
                <w:color w:val="auto"/>
              </w:rPr>
            </w:pPr>
            <w:r>
              <w:rPr>
                <w:rFonts w:ascii="Arial" w:cs="Arial" w:eastAsia="Arial" w:hAnsi="Arial"/>
                <w:sz w:val="18"/>
                <w:szCs w:val="18"/>
                <w:b w:val="1"/>
                <w:bCs w:val="1"/>
                <w:color w:val="auto"/>
              </w:rPr>
              <w:t>55.7</w:t>
            </w:r>
          </w:p>
        </w:tc>
        <w:tc>
          <w:tcPr>
            <w:tcW w:w="340" w:type="dxa"/>
            <w:vAlign w:val="bottom"/>
          </w:tcPr>
          <w:p>
            <w:pPr>
              <w:spacing w:after="0"/>
              <w:rPr>
                <w:sz w:val="18"/>
                <w:szCs w:val="18"/>
                <w:color w:val="auto"/>
              </w:rPr>
            </w:pPr>
          </w:p>
        </w:tc>
        <w:tc>
          <w:tcPr>
            <w:tcW w:w="720" w:type="dxa"/>
            <w:vAlign w:val="bottom"/>
            <w:gridSpan w:val="2"/>
          </w:tcPr>
          <w:p>
            <w:pPr>
              <w:ind w:left="600"/>
              <w:spacing w:after="0"/>
              <w:rPr>
                <w:sz w:val="20"/>
                <w:szCs w:val="20"/>
                <w:color w:val="auto"/>
              </w:rPr>
            </w:pPr>
            <w:r>
              <w:rPr>
                <w:rFonts w:ascii="Arial" w:cs="Arial" w:eastAsia="Arial" w:hAnsi="Arial"/>
                <w:sz w:val="18"/>
                <w:szCs w:val="18"/>
                <w:b w:val="1"/>
                <w:bCs w:val="1"/>
                <w:color w:val="auto"/>
                <w:w w:val="99"/>
              </w:rPr>
              <w:t>$</w:t>
            </w:r>
          </w:p>
        </w:tc>
        <w:tc>
          <w:tcPr>
            <w:tcW w:w="1440" w:type="dxa"/>
            <w:vAlign w:val="bottom"/>
            <w:gridSpan w:val="2"/>
          </w:tcPr>
          <w:p>
            <w:pPr>
              <w:jc w:val="right"/>
              <w:ind w:right="872"/>
              <w:spacing w:after="0"/>
              <w:rPr>
                <w:sz w:val="20"/>
                <w:szCs w:val="20"/>
                <w:color w:val="auto"/>
              </w:rPr>
            </w:pPr>
            <w:r>
              <w:rPr>
                <w:rFonts w:ascii="Arial" w:cs="Arial" w:eastAsia="Arial" w:hAnsi="Arial"/>
                <w:sz w:val="18"/>
                <w:szCs w:val="18"/>
                <w:b w:val="1"/>
                <w:bCs w:val="1"/>
                <w:color w:val="auto"/>
              </w:rPr>
              <w:t>66.2</w:t>
            </w:r>
          </w:p>
        </w:tc>
        <w:tc>
          <w:tcPr>
            <w:tcW w:w="142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(15.9)%</w:t>
            </w:r>
          </w:p>
        </w:tc>
        <w:tc>
          <w:tcPr>
            <w:tcW w:w="0" w:type="dxa"/>
            <w:vAlign w:val="bottom"/>
          </w:tcPr>
          <w:p>
            <w:pPr>
              <w:spacing w:after="0"/>
              <w:rPr>
                <w:sz w:val="1"/>
                <w:szCs w:val="1"/>
                <w:color w:val="auto"/>
              </w:rPr>
            </w:pPr>
          </w:p>
        </w:tc>
      </w:tr>
      <w:tr>
        <w:trPr>
          <w:trHeight w:val="216"/>
        </w:trPr>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 of revenue</w:t>
            </w:r>
          </w:p>
        </w:tc>
        <w:tc>
          <w:tcPr>
            <w:tcW w:w="1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23.9%</w:t>
            </w: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692"/>
              <w:spacing w:after="0"/>
              <w:rPr>
                <w:sz w:val="20"/>
                <w:szCs w:val="20"/>
                <w:color w:val="auto"/>
              </w:rPr>
            </w:pPr>
            <w:r>
              <w:rPr>
                <w:rFonts w:ascii="Arial" w:cs="Arial" w:eastAsia="Arial" w:hAnsi="Arial"/>
                <w:sz w:val="18"/>
                <w:szCs w:val="18"/>
                <w:b w:val="1"/>
                <w:bCs w:val="1"/>
                <w:color w:val="auto"/>
              </w:rPr>
              <w:t>27.3%</w:t>
            </w:r>
          </w:p>
        </w:tc>
        <w:tc>
          <w:tcPr>
            <w:tcW w:w="1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54"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The $10.5 million decrease in selling and administrative expense in the first two quarters of fiscal 2011 compared with the same period in fiscal 2010 was primarily attributable to a $3.9 million decrease in salaries and wages resulting from the reduction in workforce under our restructuring plans, and a $2.4 million decrease in spending on rebranding and our information technology. The decrease was also due to a $1.5 million decrease in sales agent commissions as the amount incurred in the second quarter of fiscal 2010 included sales agent commissions related to sales from one large customer in the Middle East, which was not repeated in fiscal 2011.</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459"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207"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52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gridSpan w:val="4"/>
          </w:tcPr>
          <w:p>
            <w:pPr>
              <w:ind w:left="340"/>
              <w:spacing w:after="0"/>
              <w:rPr>
                <w:sz w:val="20"/>
                <w:szCs w:val="20"/>
                <w:color w:val="auto"/>
              </w:rPr>
            </w:pPr>
            <w:r>
              <w:rPr>
                <w:rFonts w:ascii="Arial" w:cs="Arial" w:eastAsia="Arial" w:hAnsi="Arial"/>
                <w:sz w:val="14"/>
                <w:szCs w:val="14"/>
                <w:b w:val="1"/>
                <w:bCs w:val="1"/>
                <w:color w:val="auto"/>
                <w:w w:val="90"/>
              </w:rPr>
              <w:t>Two Quarters Ended</w:t>
            </w:r>
          </w:p>
        </w:tc>
        <w:tc>
          <w:tcPr>
            <w:tcW w:w="480" w:type="dxa"/>
            <w:vAlign w:val="bottom"/>
            <w:tcBorders>
              <w:bottom w:val="single" w:sz="8" w:color="auto"/>
            </w:tcBorders>
          </w:tcPr>
          <w:p>
            <w:pPr>
              <w:spacing w:after="0"/>
              <w:rPr>
                <w:sz w:val="14"/>
                <w:szCs w:val="14"/>
                <w:color w:val="auto"/>
              </w:rPr>
            </w:pPr>
          </w:p>
        </w:tc>
        <w:tc>
          <w:tcPr>
            <w:tcW w:w="840" w:type="dxa"/>
            <w:vAlign w:val="bottom"/>
          </w:tcPr>
          <w:p>
            <w:pPr>
              <w:spacing w:after="0"/>
              <w:rPr>
                <w:sz w:val="14"/>
                <w:szCs w:val="14"/>
                <w:color w:val="auto"/>
              </w:rPr>
            </w:pPr>
          </w:p>
        </w:tc>
        <w:tc>
          <w:tcPr>
            <w:tcW w:w="1220" w:type="dxa"/>
            <w:vAlign w:val="bottom"/>
            <w:gridSpan w:val="2"/>
            <w:vMerge w:val="restart"/>
          </w:tcPr>
          <w:p>
            <w:pPr>
              <w:jc w:val="right"/>
              <w:ind w:right="340"/>
              <w:spacing w:after="0"/>
              <w:rPr>
                <w:sz w:val="20"/>
                <w:szCs w:val="20"/>
                <w:color w:val="auto"/>
              </w:rPr>
            </w:pPr>
            <w:r>
              <w:rPr>
                <w:rFonts w:ascii="Arial" w:cs="Arial" w:eastAsia="Arial" w:hAnsi="Arial"/>
                <w:sz w:val="14"/>
                <w:szCs w:val="14"/>
                <w:b w:val="1"/>
                <w:bCs w:val="1"/>
                <w:color w:val="auto"/>
              </w:rPr>
              <w:t>Percentage</w:t>
            </w:r>
          </w:p>
        </w:tc>
        <w:tc>
          <w:tcPr>
            <w:tcW w:w="0" w:type="dxa"/>
            <w:vAlign w:val="bottom"/>
          </w:tcPr>
          <w:p>
            <w:pPr>
              <w:spacing w:after="0"/>
              <w:rPr>
                <w:sz w:val="1"/>
                <w:szCs w:val="1"/>
                <w:color w:val="auto"/>
              </w:rPr>
            </w:pPr>
          </w:p>
        </w:tc>
      </w:tr>
      <w:tr>
        <w:trPr>
          <w:trHeight w:val="129"/>
        </w:trPr>
        <w:tc>
          <w:tcPr>
            <w:tcW w:w="5260" w:type="dxa"/>
            <w:vAlign w:val="bottom"/>
          </w:tcPr>
          <w:p>
            <w:pPr>
              <w:spacing w:after="0"/>
              <w:rPr>
                <w:sz w:val="11"/>
                <w:szCs w:val="11"/>
                <w:color w:val="auto"/>
              </w:rPr>
            </w:pPr>
          </w:p>
        </w:tc>
        <w:tc>
          <w:tcPr>
            <w:tcW w:w="102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December 31,</w:t>
            </w:r>
          </w:p>
        </w:tc>
        <w:tc>
          <w:tcPr>
            <w:tcW w:w="620" w:type="dxa"/>
            <w:vAlign w:val="bottom"/>
          </w:tcPr>
          <w:p>
            <w:pPr>
              <w:spacing w:after="0"/>
              <w:rPr>
                <w:sz w:val="11"/>
                <w:szCs w:val="11"/>
                <w:color w:val="auto"/>
              </w:rPr>
            </w:pPr>
          </w:p>
        </w:tc>
        <w:tc>
          <w:tcPr>
            <w:tcW w:w="62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w w:val="86"/>
              </w:rPr>
              <w:t>January 1,</w:t>
            </w:r>
          </w:p>
        </w:tc>
        <w:tc>
          <w:tcPr>
            <w:tcW w:w="840" w:type="dxa"/>
            <w:vAlign w:val="bottom"/>
          </w:tcPr>
          <w:p>
            <w:pPr>
              <w:spacing w:after="0"/>
              <w:rPr>
                <w:sz w:val="11"/>
                <w:szCs w:val="11"/>
                <w:color w:val="auto"/>
              </w:rPr>
            </w:pPr>
          </w:p>
        </w:tc>
        <w:tc>
          <w:tcPr>
            <w:tcW w:w="122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5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jc w:val="right"/>
              <w:ind w:right="180"/>
              <w:spacing w:after="0"/>
              <w:rPr>
                <w:sz w:val="20"/>
                <w:szCs w:val="20"/>
                <w:color w:val="auto"/>
              </w:rPr>
            </w:pPr>
            <w:r>
              <w:rPr>
                <w:rFonts w:ascii="Arial" w:cs="Arial" w:eastAsia="Arial" w:hAnsi="Arial"/>
                <w:sz w:val="14"/>
                <w:szCs w:val="14"/>
                <w:b w:val="1"/>
                <w:bCs w:val="1"/>
                <w:color w:val="auto"/>
              </w:rPr>
              <w:t>2010</w:t>
            </w:r>
          </w:p>
        </w:tc>
        <w:tc>
          <w:tcPr>
            <w:tcW w:w="2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jc w:val="right"/>
              <w:ind w:right="97"/>
              <w:spacing w:after="0"/>
              <w:rPr>
                <w:sz w:val="20"/>
                <w:szCs w:val="20"/>
                <w:color w:val="auto"/>
              </w:rPr>
            </w:pPr>
            <w:r>
              <w:rPr>
                <w:rFonts w:ascii="Arial" w:cs="Arial" w:eastAsia="Arial" w:hAnsi="Arial"/>
                <w:sz w:val="14"/>
                <w:szCs w:val="14"/>
                <w:b w:val="1"/>
                <w:bCs w:val="1"/>
                <w:color w:val="auto"/>
                <w:w w:val="89"/>
              </w:rPr>
              <w:t>2010</w:t>
            </w:r>
          </w:p>
        </w:tc>
        <w:tc>
          <w:tcPr>
            <w:tcW w:w="840" w:type="dxa"/>
            <w:vAlign w:val="bottom"/>
          </w:tcPr>
          <w:p>
            <w:pPr>
              <w:spacing w:after="0"/>
              <w:rPr>
                <w:sz w:val="14"/>
                <w:szCs w:val="14"/>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w w:val="83"/>
              </w:rPr>
              <w:t>Increase/(Decrease)</w:t>
            </w:r>
          </w:p>
        </w:tc>
        <w:tc>
          <w:tcPr>
            <w:tcW w:w="0" w:type="dxa"/>
            <w:vAlign w:val="bottom"/>
          </w:tcPr>
          <w:p>
            <w:pPr>
              <w:spacing w:after="0"/>
              <w:rPr>
                <w:sz w:val="1"/>
                <w:szCs w:val="1"/>
                <w:color w:val="auto"/>
              </w:rPr>
            </w:pPr>
          </w:p>
        </w:tc>
      </w:tr>
      <w:tr>
        <w:trPr>
          <w:trHeight w:val="20"/>
        </w:trPr>
        <w:tc>
          <w:tcPr>
            <w:tcW w:w="52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20" w:type="dxa"/>
            <w:vAlign w:val="bottom"/>
            <w:gridSpan w:val="2"/>
            <w:shd w:val="clear" w:color="auto" w:fill="000000"/>
          </w:tcPr>
          <w:p>
            <w:pPr>
              <w:spacing w:after="0" w:line="20" w:lineRule="exact"/>
              <w:rPr>
                <w:sz w:val="1"/>
                <w:szCs w:val="1"/>
                <w:color w:val="auto"/>
              </w:rPr>
            </w:pPr>
          </w:p>
        </w:tc>
        <w:tc>
          <w:tcPr>
            <w:tcW w:w="84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87"/>
              </w:rPr>
              <w:t>percentages)</w:t>
            </w:r>
          </w:p>
        </w:tc>
        <w:tc>
          <w:tcPr>
            <w:tcW w:w="11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5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gridSpan w:val="3"/>
          </w:tcPr>
          <w:p>
            <w:pPr>
              <w:jc w:val="right"/>
              <w:spacing w:after="0" w:line="142" w:lineRule="exact"/>
              <w:rPr>
                <w:sz w:val="20"/>
                <w:szCs w:val="20"/>
                <w:color w:val="auto"/>
              </w:rPr>
            </w:pPr>
            <w:r>
              <w:rPr>
                <w:rFonts w:ascii="Arial" w:cs="Arial" w:eastAsia="Arial" w:hAnsi="Arial"/>
                <w:sz w:val="14"/>
                <w:szCs w:val="14"/>
                <w:b w:val="1"/>
                <w:bCs w:val="1"/>
                <w:color w:val="auto"/>
                <w:w w:val="96"/>
              </w:rPr>
              <w:t>(In millions, except</w:t>
            </w:r>
          </w:p>
        </w:tc>
        <w:tc>
          <w:tcPr>
            <w:tcW w:w="840" w:type="dxa"/>
            <w:vAlign w:val="bottom"/>
            <w:vMerge w:val="continue"/>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Loss before income taxes</w:t>
            </w:r>
          </w:p>
        </w:tc>
        <w:tc>
          <w:tcPr>
            <w:tcW w:w="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(34.0)</w:t>
            </w:r>
          </w:p>
        </w:tc>
        <w:tc>
          <w:tcPr>
            <w:tcW w:w="760" w:type="dxa"/>
            <w:vAlign w:val="bottom"/>
            <w:gridSpan w:val="2"/>
            <w:shd w:val="clear" w:color="auto" w:fill="CCEEFF"/>
          </w:tcPr>
          <w:p>
            <w:pPr>
              <w:ind w:left="620"/>
              <w:spacing w:after="0"/>
              <w:rPr>
                <w:sz w:val="20"/>
                <w:szCs w:val="20"/>
                <w:color w:val="auto"/>
              </w:rPr>
            </w:pPr>
            <w:r>
              <w:rPr>
                <w:rFonts w:ascii="Arial" w:cs="Arial" w:eastAsia="Arial" w:hAnsi="Arial"/>
                <w:sz w:val="18"/>
                <w:szCs w:val="18"/>
                <w:b w:val="1"/>
                <w:bCs w:val="1"/>
                <w:color w:val="auto"/>
              </w:rPr>
              <w:t>$</w:t>
            </w:r>
          </w:p>
        </w:tc>
        <w:tc>
          <w:tcPr>
            <w:tcW w:w="1320" w:type="dxa"/>
            <w:vAlign w:val="bottom"/>
            <w:gridSpan w:val="2"/>
            <w:shd w:val="clear" w:color="auto" w:fill="CCEEFF"/>
          </w:tcPr>
          <w:p>
            <w:pPr>
              <w:jc w:val="right"/>
              <w:ind w:right="712"/>
              <w:spacing w:after="0"/>
              <w:rPr>
                <w:sz w:val="20"/>
                <w:szCs w:val="20"/>
                <w:color w:val="auto"/>
              </w:rPr>
            </w:pPr>
            <w:r>
              <w:rPr>
                <w:rFonts w:ascii="Arial" w:cs="Arial" w:eastAsia="Arial" w:hAnsi="Arial"/>
                <w:sz w:val="18"/>
                <w:szCs w:val="18"/>
                <w:b w:val="1"/>
                <w:bCs w:val="1"/>
                <w:color w:val="auto"/>
              </w:rPr>
              <w:t>(13.4)</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N/M</w:t>
            </w:r>
          </w:p>
        </w:tc>
        <w:tc>
          <w:tcPr>
            <w:tcW w:w="0" w:type="dxa"/>
            <w:vAlign w:val="bottom"/>
          </w:tcPr>
          <w:p>
            <w:pPr>
              <w:spacing w:after="0"/>
              <w:rPr>
                <w:sz w:val="1"/>
                <w:szCs w:val="1"/>
                <w:color w:val="auto"/>
              </w:rPr>
            </w:pPr>
          </w:p>
        </w:tc>
      </w:tr>
      <w:tr>
        <w:trPr>
          <w:trHeight w:val="216"/>
        </w:trPr>
        <w:tc>
          <w:tcPr>
            <w:tcW w:w="5260" w:type="dxa"/>
            <w:vAlign w:val="bottom"/>
          </w:tcPr>
          <w:p>
            <w:pPr>
              <w:spacing w:after="0"/>
              <w:rPr>
                <w:sz w:val="20"/>
                <w:szCs w:val="20"/>
                <w:color w:val="auto"/>
              </w:rPr>
            </w:pPr>
            <w:r>
              <w:rPr>
                <w:rFonts w:ascii="Arial" w:cs="Arial" w:eastAsia="Arial" w:hAnsi="Arial"/>
                <w:sz w:val="18"/>
                <w:szCs w:val="18"/>
                <w:color w:val="auto"/>
              </w:rPr>
              <w:t>Provision for (benefit from) income taxes</w:t>
            </w:r>
          </w:p>
        </w:tc>
        <w:tc>
          <w:tcPr>
            <w:tcW w:w="180" w:type="dxa"/>
            <w:vAlign w:val="bottom"/>
          </w:tcPr>
          <w:p>
            <w:pPr>
              <w:spacing w:after="0"/>
              <w:rPr>
                <w:sz w:val="20"/>
                <w:szCs w:val="20"/>
                <w:color w:val="auto"/>
              </w:rPr>
            </w:pPr>
            <w:r>
              <w:rPr>
                <w:rFonts w:ascii="Arial" w:cs="Arial" w:eastAsia="Arial" w:hAnsi="Arial"/>
                <w:sz w:val="18"/>
                <w:szCs w:val="18"/>
                <w:b w:val="1"/>
                <w:bCs w:val="1"/>
                <w:color w:val="auto"/>
              </w:rPr>
              <w:t>$</w:t>
            </w:r>
          </w:p>
        </w:tc>
        <w:tc>
          <w:tcPr>
            <w:tcW w:w="84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(0.2)</w:t>
            </w:r>
          </w:p>
        </w:tc>
        <w:tc>
          <w:tcPr>
            <w:tcW w:w="760" w:type="dxa"/>
            <w:vAlign w:val="bottom"/>
            <w:gridSpan w:val="2"/>
          </w:tcPr>
          <w:p>
            <w:pPr>
              <w:ind w:left="620"/>
              <w:spacing w:after="0"/>
              <w:rPr>
                <w:sz w:val="20"/>
                <w:szCs w:val="20"/>
                <w:color w:val="auto"/>
              </w:rPr>
            </w:pPr>
            <w:r>
              <w:rPr>
                <w:rFonts w:ascii="Arial" w:cs="Arial" w:eastAsia="Arial" w:hAnsi="Arial"/>
                <w:sz w:val="18"/>
                <w:szCs w:val="18"/>
                <w:b w:val="1"/>
                <w:bCs w:val="1"/>
                <w:color w:val="auto"/>
              </w:rPr>
              <w:t>$</w:t>
            </w:r>
          </w:p>
        </w:tc>
        <w:tc>
          <w:tcPr>
            <w:tcW w:w="1320" w:type="dxa"/>
            <w:vAlign w:val="bottom"/>
            <w:gridSpan w:val="2"/>
          </w:tcPr>
          <w:p>
            <w:pPr>
              <w:jc w:val="right"/>
              <w:ind w:right="772"/>
              <w:spacing w:after="0"/>
              <w:rPr>
                <w:sz w:val="20"/>
                <w:szCs w:val="20"/>
                <w:color w:val="auto"/>
              </w:rPr>
            </w:pPr>
            <w:r>
              <w:rPr>
                <w:rFonts w:ascii="Arial" w:cs="Arial" w:eastAsia="Arial" w:hAnsi="Arial"/>
                <w:sz w:val="18"/>
                <w:szCs w:val="18"/>
                <w:b w:val="1"/>
                <w:bCs w:val="1"/>
                <w:color w:val="auto"/>
              </w:rPr>
              <w:t>2.3</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N/M</w:t>
            </w:r>
          </w:p>
        </w:tc>
        <w:tc>
          <w:tcPr>
            <w:tcW w:w="0" w:type="dxa"/>
            <w:vAlign w:val="bottom"/>
          </w:tcPr>
          <w:p>
            <w:pPr>
              <w:spacing w:after="0"/>
              <w:rPr>
                <w:sz w:val="1"/>
                <w:szCs w:val="1"/>
                <w:color w:val="auto"/>
              </w:rPr>
            </w:pPr>
          </w:p>
        </w:tc>
      </w:tr>
      <w:tr>
        <w:trPr>
          <w:trHeight w:val="216"/>
        </w:trPr>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 of Loss income before income taxes</w:t>
            </w: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N/M</w:t>
            </w: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772"/>
              <w:spacing w:after="0"/>
              <w:rPr>
                <w:sz w:val="20"/>
                <w:szCs w:val="20"/>
                <w:color w:val="auto"/>
              </w:rPr>
            </w:pPr>
            <w:r>
              <w:rPr>
                <w:rFonts w:ascii="Arial" w:cs="Arial" w:eastAsia="Arial" w:hAnsi="Arial"/>
                <w:sz w:val="18"/>
                <w:szCs w:val="18"/>
                <w:b w:val="1"/>
                <w:bCs w:val="1"/>
                <w:color w:val="auto"/>
              </w:rPr>
              <w:t>N/M</w:t>
            </w: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color w:val="auto"/>
        </w:rPr>
        <w:t>N/M = Not statistically meaningful</w:t>
      </w:r>
    </w:p>
    <w:p>
      <w:pPr>
        <w:spacing w:after="0" w:line="171" w:lineRule="exact"/>
        <w:rPr>
          <w:sz w:val="20"/>
          <w:szCs w:val="20"/>
          <w:color w:val="auto"/>
        </w:rPr>
      </w:pPr>
    </w:p>
    <w:p>
      <w:pPr>
        <w:ind w:right="140" w:firstLine="456"/>
        <w:spacing w:after="0" w:line="294" w:lineRule="auto"/>
        <w:rPr>
          <w:sz w:val="20"/>
          <w:szCs w:val="20"/>
          <w:color w:val="auto"/>
        </w:rPr>
      </w:pPr>
      <w:r>
        <w:rPr>
          <w:rFonts w:ascii="Arial" w:cs="Arial" w:eastAsia="Arial" w:hAnsi="Arial"/>
          <w:sz w:val="16"/>
          <w:szCs w:val="16"/>
          <w:color w:val="auto"/>
        </w:rPr>
        <w:t>The determination of benefit from and provision for income taxes for the first two quarters of fiscal 2011 and fiscal 2010 was primarily based on our estimated annual effective tax rate adjusted for losses in separate jurisdictions for which no tax benefit can be recognized. The first two quarters of fiscal 2011 incorporate an additional income tax benefit of $2.1 million associated with the expiring favorable tax ruling granted by the Singapore Economic Development Board which has increased the local tax rate applied to all deferred tax assets that have been projected to reverse subsequent to the expiration of this ruling. Also in the first two quarters of fiscal 2011 a one-time income tax benefit of $2.6 million has been recognized relating to recently passed Singapore legislation.</w:t>
      </w:r>
    </w:p>
    <w:p>
      <w:pPr>
        <w:spacing w:after="0" w:line="116"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Our effective tax rate varies from the U.S. federal statutory rate of 35% due to results of foreign operations that are subject to income taxes at different statutory rates and certain jurisdictions where we cannot recognize tax benefits on current losses.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Discussion of Business Segment Results of Operations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North America Segment</w:t>
      </w:r>
    </w:p>
    <w:p>
      <w:pPr>
        <w:spacing w:after="0" w:line="207"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48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gridSpan w:val="4"/>
          </w:tcPr>
          <w:p>
            <w:pPr>
              <w:ind w:left="400"/>
              <w:spacing w:after="0"/>
              <w:rPr>
                <w:sz w:val="20"/>
                <w:szCs w:val="20"/>
                <w:color w:val="auto"/>
              </w:rPr>
            </w:pPr>
            <w:r>
              <w:rPr>
                <w:rFonts w:ascii="Arial" w:cs="Arial" w:eastAsia="Arial" w:hAnsi="Arial"/>
                <w:sz w:val="14"/>
                <w:szCs w:val="14"/>
                <w:b w:val="1"/>
                <w:bCs w:val="1"/>
                <w:color w:val="auto"/>
                <w:w w:val="94"/>
              </w:rPr>
              <w:t>Two Quarters Ended</w:t>
            </w:r>
          </w:p>
        </w:tc>
        <w:tc>
          <w:tcPr>
            <w:tcW w:w="500" w:type="dxa"/>
            <w:vAlign w:val="bottom"/>
            <w:tcBorders>
              <w:bottom w:val="single" w:sz="8" w:color="auto"/>
            </w:tcBorders>
          </w:tcPr>
          <w:p>
            <w:pPr>
              <w:spacing w:after="0"/>
              <w:rPr>
                <w:sz w:val="14"/>
                <w:szCs w:val="14"/>
                <w:color w:val="auto"/>
              </w:rPr>
            </w:pPr>
          </w:p>
        </w:tc>
        <w:tc>
          <w:tcPr>
            <w:tcW w:w="960" w:type="dxa"/>
            <w:vAlign w:val="bottom"/>
          </w:tcPr>
          <w:p>
            <w:pPr>
              <w:spacing w:after="0"/>
              <w:rPr>
                <w:sz w:val="14"/>
                <w:szCs w:val="14"/>
                <w:color w:val="auto"/>
              </w:rPr>
            </w:pPr>
          </w:p>
        </w:tc>
        <w:tc>
          <w:tcPr>
            <w:tcW w:w="1420" w:type="dxa"/>
            <w:vAlign w:val="bottom"/>
            <w:gridSpan w:val="2"/>
            <w:vMerge w:val="restart"/>
          </w:tcPr>
          <w:p>
            <w:pPr>
              <w:jc w:val="right"/>
              <w:ind w:right="540"/>
              <w:spacing w:after="0"/>
              <w:rPr>
                <w:sz w:val="20"/>
                <w:szCs w:val="20"/>
                <w:color w:val="auto"/>
              </w:rPr>
            </w:pPr>
            <w:r>
              <w:rPr>
                <w:rFonts w:ascii="Arial" w:cs="Arial" w:eastAsia="Arial" w:hAnsi="Arial"/>
                <w:sz w:val="14"/>
                <w:szCs w:val="14"/>
                <w:b w:val="1"/>
                <w:bCs w:val="1"/>
                <w:color w:val="auto"/>
              </w:rPr>
              <w:t>Percentage</w:t>
            </w:r>
          </w:p>
        </w:tc>
        <w:tc>
          <w:tcPr>
            <w:tcW w:w="0" w:type="dxa"/>
            <w:vAlign w:val="bottom"/>
          </w:tcPr>
          <w:p>
            <w:pPr>
              <w:spacing w:after="0"/>
              <w:rPr>
                <w:sz w:val="1"/>
                <w:szCs w:val="1"/>
                <w:color w:val="auto"/>
              </w:rPr>
            </w:pPr>
          </w:p>
        </w:tc>
      </w:tr>
      <w:tr>
        <w:trPr>
          <w:trHeight w:val="129"/>
        </w:trPr>
        <w:tc>
          <w:tcPr>
            <w:tcW w:w="4800" w:type="dxa"/>
            <w:vAlign w:val="bottom"/>
          </w:tcPr>
          <w:p>
            <w:pPr>
              <w:spacing w:after="0"/>
              <w:rPr>
                <w:sz w:val="11"/>
                <w:szCs w:val="11"/>
                <w:color w:val="auto"/>
              </w:rPr>
            </w:pPr>
          </w:p>
        </w:tc>
        <w:tc>
          <w:tcPr>
            <w:tcW w:w="118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December 31,</w:t>
            </w:r>
          </w:p>
        </w:tc>
        <w:tc>
          <w:tcPr>
            <w:tcW w:w="580" w:type="dxa"/>
            <w:vAlign w:val="bottom"/>
          </w:tcPr>
          <w:p>
            <w:pPr>
              <w:spacing w:after="0"/>
              <w:rPr>
                <w:sz w:val="11"/>
                <w:szCs w:val="11"/>
                <w:color w:val="auto"/>
              </w:rPr>
            </w:pPr>
          </w:p>
        </w:tc>
        <w:tc>
          <w:tcPr>
            <w:tcW w:w="640" w:type="dxa"/>
            <w:vAlign w:val="bottom"/>
            <w:gridSpan w:val="2"/>
          </w:tcPr>
          <w:p>
            <w:pPr>
              <w:ind w:left="20"/>
              <w:spacing w:after="0" w:line="129" w:lineRule="exact"/>
              <w:rPr>
                <w:sz w:val="20"/>
                <w:szCs w:val="20"/>
                <w:color w:val="auto"/>
              </w:rPr>
            </w:pPr>
            <w:r>
              <w:rPr>
                <w:rFonts w:ascii="Arial" w:cs="Arial" w:eastAsia="Arial" w:hAnsi="Arial"/>
                <w:sz w:val="14"/>
                <w:szCs w:val="14"/>
                <w:b w:val="1"/>
                <w:bCs w:val="1"/>
                <w:color w:val="auto"/>
                <w:w w:val="86"/>
              </w:rPr>
              <w:t>January 1,</w:t>
            </w:r>
          </w:p>
        </w:tc>
        <w:tc>
          <w:tcPr>
            <w:tcW w:w="960" w:type="dxa"/>
            <w:vAlign w:val="bottom"/>
          </w:tcPr>
          <w:p>
            <w:pPr>
              <w:spacing w:after="0"/>
              <w:rPr>
                <w:sz w:val="11"/>
                <w:szCs w:val="11"/>
                <w:color w:val="auto"/>
              </w:rPr>
            </w:pPr>
          </w:p>
        </w:tc>
        <w:tc>
          <w:tcPr>
            <w:tcW w:w="142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48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80"/>
              <w:spacing w:after="0"/>
              <w:rPr>
                <w:sz w:val="20"/>
                <w:szCs w:val="20"/>
                <w:color w:val="auto"/>
              </w:rPr>
            </w:pPr>
            <w:r>
              <w:rPr>
                <w:rFonts w:ascii="Arial" w:cs="Arial" w:eastAsia="Arial" w:hAnsi="Arial"/>
                <w:sz w:val="14"/>
                <w:szCs w:val="14"/>
                <w:b w:val="1"/>
                <w:bCs w:val="1"/>
                <w:color w:val="auto"/>
              </w:rPr>
              <w:t>2010</w:t>
            </w:r>
          </w:p>
        </w:tc>
        <w:tc>
          <w:tcPr>
            <w:tcW w:w="3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97"/>
              <w:spacing w:after="0"/>
              <w:rPr>
                <w:sz w:val="20"/>
                <w:szCs w:val="20"/>
                <w:color w:val="auto"/>
              </w:rPr>
            </w:pPr>
            <w:r>
              <w:rPr>
                <w:rFonts w:ascii="Arial" w:cs="Arial" w:eastAsia="Arial" w:hAnsi="Arial"/>
                <w:sz w:val="14"/>
                <w:szCs w:val="14"/>
                <w:b w:val="1"/>
                <w:bCs w:val="1"/>
                <w:color w:val="auto"/>
                <w:w w:val="96"/>
              </w:rPr>
              <w:t>2010</w:t>
            </w:r>
          </w:p>
        </w:tc>
        <w:tc>
          <w:tcPr>
            <w:tcW w:w="960" w:type="dxa"/>
            <w:vAlign w:val="bottom"/>
          </w:tcPr>
          <w:p>
            <w:pPr>
              <w:spacing w:after="0"/>
              <w:rPr>
                <w:sz w:val="14"/>
                <w:szCs w:val="14"/>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4"/>
              </w:rPr>
              <w:t>Increase/(Decrease)</w:t>
            </w: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8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20" w:type="dxa"/>
            <w:vAlign w:val="bottom"/>
            <w:gridSpan w:val="3"/>
          </w:tcPr>
          <w:p>
            <w:pPr>
              <w:jc w:val="right"/>
              <w:spacing w:after="0" w:line="142" w:lineRule="exact"/>
              <w:rPr>
                <w:sz w:val="20"/>
                <w:szCs w:val="20"/>
                <w:color w:val="auto"/>
              </w:rPr>
            </w:pPr>
            <w:r>
              <w:rPr>
                <w:rFonts w:ascii="Arial" w:cs="Arial" w:eastAsia="Arial" w:hAnsi="Arial"/>
                <w:sz w:val="14"/>
                <w:szCs w:val="14"/>
                <w:b w:val="1"/>
                <w:bCs w:val="1"/>
                <w:color w:val="auto"/>
                <w:w w:val="95"/>
              </w:rPr>
              <w:t>(In millions, except</w:t>
            </w:r>
          </w:p>
        </w:tc>
        <w:tc>
          <w:tcPr>
            <w:tcW w:w="960" w:type="dxa"/>
            <w:vAlign w:val="bottom"/>
          </w:tcPr>
          <w:p>
            <w:pPr>
              <w:jc w:val="right"/>
              <w:ind w:right="112"/>
              <w:spacing w:after="0" w:line="142" w:lineRule="exact"/>
              <w:rPr>
                <w:sz w:val="20"/>
                <w:szCs w:val="20"/>
                <w:color w:val="auto"/>
              </w:rPr>
            </w:pPr>
            <w:r>
              <w:rPr>
                <w:rFonts w:ascii="Arial" w:cs="Arial" w:eastAsia="Arial" w:hAnsi="Arial"/>
                <w:sz w:val="14"/>
                <w:szCs w:val="14"/>
                <w:b w:val="1"/>
                <w:bCs w:val="1"/>
                <w:color w:val="auto"/>
                <w:w w:val="87"/>
              </w:rPr>
              <w:t>percentages)</w:t>
            </w:r>
          </w:p>
        </w:tc>
        <w:tc>
          <w:tcPr>
            <w:tcW w:w="1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b w:val="1"/>
                <w:bCs w:val="1"/>
                <w:color w:val="auto"/>
              </w:rPr>
              <w:t>76.1</w:t>
            </w:r>
          </w:p>
        </w:tc>
        <w:tc>
          <w:tcPr>
            <w:tcW w:w="720" w:type="dxa"/>
            <w:vAlign w:val="bottom"/>
            <w:gridSpan w:val="2"/>
            <w:shd w:val="clear" w:color="auto" w:fill="CCEEFF"/>
          </w:tcPr>
          <w:p>
            <w:pPr>
              <w:ind w:left="600"/>
              <w:spacing w:after="0"/>
              <w:rPr>
                <w:sz w:val="20"/>
                <w:szCs w:val="20"/>
                <w:color w:val="auto"/>
              </w:rPr>
            </w:pPr>
            <w:r>
              <w:rPr>
                <w:rFonts w:ascii="Arial" w:cs="Arial" w:eastAsia="Arial" w:hAnsi="Arial"/>
                <w:sz w:val="18"/>
                <w:szCs w:val="18"/>
                <w:b w:val="1"/>
                <w:bCs w:val="1"/>
                <w:color w:val="auto"/>
                <w:w w:val="99"/>
              </w:rPr>
              <w:t>$</w:t>
            </w:r>
          </w:p>
        </w:tc>
        <w:tc>
          <w:tcPr>
            <w:tcW w:w="1460" w:type="dxa"/>
            <w:vAlign w:val="bottom"/>
            <w:gridSpan w:val="2"/>
            <w:shd w:val="clear" w:color="auto" w:fill="CCEEFF"/>
          </w:tcPr>
          <w:p>
            <w:pPr>
              <w:jc w:val="right"/>
              <w:ind w:right="892"/>
              <w:spacing w:after="0"/>
              <w:rPr>
                <w:sz w:val="20"/>
                <w:szCs w:val="20"/>
                <w:color w:val="auto"/>
              </w:rPr>
            </w:pPr>
            <w:r>
              <w:rPr>
                <w:rFonts w:ascii="Arial" w:cs="Arial" w:eastAsia="Arial" w:hAnsi="Arial"/>
                <w:sz w:val="18"/>
                <w:szCs w:val="18"/>
                <w:b w:val="1"/>
                <w:bCs w:val="1"/>
                <w:color w:val="auto"/>
              </w:rPr>
              <w:t>97.4</w:t>
            </w:r>
          </w:p>
        </w:tc>
        <w:tc>
          <w:tcPr>
            <w:tcW w:w="14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(21.9)%</w:t>
            </w:r>
          </w:p>
        </w:tc>
        <w:tc>
          <w:tcPr>
            <w:tcW w:w="0" w:type="dxa"/>
            <w:vAlign w:val="bottom"/>
          </w:tcPr>
          <w:p>
            <w:pPr>
              <w:spacing w:after="0"/>
              <w:rPr>
                <w:sz w:val="1"/>
                <w:szCs w:val="1"/>
                <w:color w:val="auto"/>
              </w:rPr>
            </w:pPr>
          </w:p>
        </w:tc>
      </w:tr>
      <w:tr>
        <w:trPr>
          <w:trHeight w:val="216"/>
        </w:trPr>
        <w:tc>
          <w:tcPr>
            <w:tcW w:w="4800" w:type="dxa"/>
            <w:vAlign w:val="bottom"/>
          </w:tcPr>
          <w:p>
            <w:pPr>
              <w:spacing w:after="0"/>
              <w:rPr>
                <w:sz w:val="20"/>
                <w:szCs w:val="20"/>
                <w:color w:val="auto"/>
              </w:rPr>
            </w:pPr>
            <w:r>
              <w:rPr>
                <w:rFonts w:ascii="Arial" w:cs="Arial" w:eastAsia="Arial" w:hAnsi="Arial"/>
                <w:sz w:val="18"/>
                <w:szCs w:val="18"/>
                <w:color w:val="auto"/>
              </w:rPr>
              <w:t>Segment operating loss</w:t>
            </w:r>
          </w:p>
        </w:tc>
        <w:tc>
          <w:tcPr>
            <w:tcW w:w="180" w:type="dxa"/>
            <w:vAlign w:val="bottom"/>
          </w:tcPr>
          <w:p>
            <w:pPr>
              <w:spacing w:after="0"/>
              <w:rPr>
                <w:sz w:val="20"/>
                <w:szCs w:val="20"/>
                <w:color w:val="auto"/>
              </w:rPr>
            </w:pPr>
            <w:r>
              <w:rPr>
                <w:rFonts w:ascii="Arial" w:cs="Arial" w:eastAsia="Arial" w:hAnsi="Arial"/>
                <w:sz w:val="18"/>
                <w:szCs w:val="18"/>
                <w:b w:val="1"/>
                <w:bCs w:val="1"/>
                <w:color w:val="auto"/>
              </w:rPr>
              <w:t>$</w:t>
            </w:r>
          </w:p>
        </w:tc>
        <w:tc>
          <w:tcPr>
            <w:tcW w:w="100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(14.7)</w:t>
            </w:r>
          </w:p>
        </w:tc>
        <w:tc>
          <w:tcPr>
            <w:tcW w:w="720" w:type="dxa"/>
            <w:vAlign w:val="bottom"/>
            <w:gridSpan w:val="2"/>
          </w:tcPr>
          <w:p>
            <w:pPr>
              <w:ind w:left="600"/>
              <w:spacing w:after="0"/>
              <w:rPr>
                <w:sz w:val="20"/>
                <w:szCs w:val="20"/>
                <w:color w:val="auto"/>
              </w:rPr>
            </w:pPr>
            <w:r>
              <w:rPr>
                <w:rFonts w:ascii="Arial" w:cs="Arial" w:eastAsia="Arial" w:hAnsi="Arial"/>
                <w:sz w:val="18"/>
                <w:szCs w:val="18"/>
                <w:b w:val="1"/>
                <w:bCs w:val="1"/>
                <w:color w:val="auto"/>
                <w:w w:val="99"/>
              </w:rPr>
              <w:t>$</w:t>
            </w:r>
          </w:p>
        </w:tc>
        <w:tc>
          <w:tcPr>
            <w:tcW w:w="1460" w:type="dxa"/>
            <w:vAlign w:val="bottom"/>
            <w:gridSpan w:val="2"/>
          </w:tcPr>
          <w:p>
            <w:pPr>
              <w:jc w:val="right"/>
              <w:ind w:right="852"/>
              <w:spacing w:after="0"/>
              <w:rPr>
                <w:sz w:val="20"/>
                <w:szCs w:val="20"/>
                <w:color w:val="auto"/>
              </w:rPr>
            </w:pPr>
            <w:r>
              <w:rPr>
                <w:rFonts w:ascii="Arial" w:cs="Arial" w:eastAsia="Arial" w:hAnsi="Arial"/>
                <w:sz w:val="18"/>
                <w:szCs w:val="18"/>
                <w:b w:val="1"/>
                <w:bCs w:val="1"/>
                <w:color w:val="auto"/>
              </w:rPr>
              <w:t>(12.8)</w:t>
            </w:r>
          </w:p>
        </w:tc>
        <w:tc>
          <w:tcPr>
            <w:tcW w:w="142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N/M</w:t>
            </w:r>
          </w:p>
        </w:tc>
        <w:tc>
          <w:tcPr>
            <w:tcW w:w="0" w:type="dxa"/>
            <w:vAlign w:val="bottom"/>
          </w:tcPr>
          <w:p>
            <w:pPr>
              <w:spacing w:after="0"/>
              <w:rPr>
                <w:sz w:val="1"/>
                <w:szCs w:val="1"/>
                <w:color w:val="auto"/>
              </w:rPr>
            </w:pPr>
          </w:p>
        </w:tc>
      </w:tr>
      <w:tr>
        <w:trPr>
          <w:trHeight w:val="216"/>
        </w:trPr>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 of revenue</w:t>
            </w: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(19.3)%</w:t>
            </w: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672"/>
              <w:spacing w:after="0"/>
              <w:rPr>
                <w:sz w:val="20"/>
                <w:szCs w:val="20"/>
                <w:color w:val="auto"/>
              </w:rPr>
            </w:pPr>
            <w:r>
              <w:rPr>
                <w:rFonts w:ascii="Arial" w:cs="Arial" w:eastAsia="Arial" w:hAnsi="Arial"/>
                <w:sz w:val="18"/>
                <w:szCs w:val="18"/>
                <w:b w:val="1"/>
                <w:bCs w:val="1"/>
                <w:color w:val="auto"/>
              </w:rPr>
              <w:t>(13.1)%</w:t>
            </w:r>
          </w:p>
        </w:tc>
        <w:tc>
          <w:tcPr>
            <w:tcW w:w="1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color w:val="auto"/>
        </w:rPr>
        <w:t>N/M = Not statistically meaningful</w:t>
      </w:r>
    </w:p>
    <w:p>
      <w:pPr>
        <w:spacing w:after="0" w:line="171"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We experienced a significant decrease in revenue in North America that resulted primarily from product transition to our current product platform from our legacy products, some continuing effects of the economic downturn, as well as increased competition. In the first two quarters of fiscal 2010, most of our North America business was in our legacy products. While we continued last time buy activity in those product lines in the first two quarters of fiscal 2011, we are also in the process of transitioning our North America customers to our current product. Many of our customers are now completing their first deployments of the current product. We expect orders for this line of products to increase in future periods as market acceptance gains traction.</w:t>
      </w:r>
    </w:p>
    <w:p>
      <w:pPr>
        <w:spacing w:after="0" w:line="116"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North America segment operating loss for the first two quarters of fiscal 2011 included $6.9 million of restructuring charges, $4.4 million from the loss on sale of NetBoss assets and $1.7 million for share-based compensation.</w:t>
      </w:r>
    </w:p>
    <w:p>
      <w:pPr>
        <w:spacing w:after="0" w:line="132" w:lineRule="exact"/>
        <w:rPr>
          <w:sz w:val="20"/>
          <w:szCs w:val="20"/>
          <w:color w:val="auto"/>
        </w:rPr>
      </w:pPr>
    </w:p>
    <w:p>
      <w:pPr>
        <w:ind w:right="400" w:firstLine="456"/>
        <w:spacing w:after="0" w:line="268" w:lineRule="auto"/>
        <w:rPr>
          <w:sz w:val="20"/>
          <w:szCs w:val="20"/>
          <w:color w:val="auto"/>
        </w:rPr>
      </w:pPr>
      <w:r>
        <w:rPr>
          <w:rFonts w:ascii="Arial" w:cs="Arial" w:eastAsia="Arial" w:hAnsi="Arial"/>
          <w:sz w:val="18"/>
          <w:szCs w:val="18"/>
          <w:color w:val="auto"/>
        </w:rPr>
        <w:t>The North America segment operating loss for the first two quarters of fiscal 2010 included $1.5 million for restructuring charges and $1.4 million for share-based compensation.</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International Segment</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6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gridSpan w:val="4"/>
          </w:tcPr>
          <w:p>
            <w:pPr>
              <w:ind w:left="420"/>
              <w:spacing w:after="0"/>
              <w:rPr>
                <w:sz w:val="20"/>
                <w:szCs w:val="20"/>
                <w:color w:val="auto"/>
              </w:rPr>
            </w:pPr>
            <w:r>
              <w:rPr>
                <w:rFonts w:ascii="Arial" w:cs="Arial" w:eastAsia="Arial" w:hAnsi="Arial"/>
                <w:sz w:val="14"/>
                <w:szCs w:val="14"/>
                <w:b w:val="1"/>
                <w:bCs w:val="1"/>
                <w:color w:val="auto"/>
                <w:w w:val="94"/>
              </w:rPr>
              <w:t>Two Quarters Ended</w:t>
            </w:r>
          </w:p>
        </w:tc>
        <w:tc>
          <w:tcPr>
            <w:tcW w:w="500" w:type="dxa"/>
            <w:vAlign w:val="bottom"/>
            <w:tcBorders>
              <w:bottom w:val="single" w:sz="8" w:color="auto"/>
            </w:tcBorders>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gridSpan w:val="2"/>
            <w:vMerge w:val="restart"/>
          </w:tcPr>
          <w:p>
            <w:pPr>
              <w:jc w:val="right"/>
              <w:ind w:right="480"/>
              <w:spacing w:after="0"/>
              <w:rPr>
                <w:sz w:val="20"/>
                <w:szCs w:val="20"/>
                <w:color w:val="auto"/>
              </w:rPr>
            </w:pPr>
            <w:r>
              <w:rPr>
                <w:rFonts w:ascii="Arial" w:cs="Arial" w:eastAsia="Arial" w:hAnsi="Arial"/>
                <w:sz w:val="14"/>
                <w:szCs w:val="14"/>
                <w:b w:val="1"/>
                <w:bCs w:val="1"/>
                <w:color w:val="auto"/>
              </w:rPr>
              <w:t>Percentage</w:t>
            </w:r>
          </w:p>
        </w:tc>
        <w:tc>
          <w:tcPr>
            <w:tcW w:w="0" w:type="dxa"/>
            <w:vAlign w:val="bottom"/>
          </w:tcPr>
          <w:p>
            <w:pPr>
              <w:spacing w:after="0"/>
              <w:rPr>
                <w:sz w:val="1"/>
                <w:szCs w:val="1"/>
                <w:color w:val="auto"/>
              </w:rPr>
            </w:pPr>
          </w:p>
        </w:tc>
      </w:tr>
      <w:tr>
        <w:trPr>
          <w:trHeight w:val="129"/>
        </w:trPr>
        <w:tc>
          <w:tcPr>
            <w:tcW w:w="9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620" w:type="dxa"/>
            <w:vAlign w:val="bottom"/>
          </w:tcPr>
          <w:p>
            <w:pPr>
              <w:spacing w:after="0"/>
              <w:rPr>
                <w:sz w:val="11"/>
                <w:szCs w:val="11"/>
                <w:color w:val="auto"/>
              </w:rPr>
            </w:pPr>
          </w:p>
        </w:tc>
        <w:tc>
          <w:tcPr>
            <w:tcW w:w="118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December 31,</w:t>
            </w:r>
          </w:p>
        </w:tc>
        <w:tc>
          <w:tcPr>
            <w:tcW w:w="620" w:type="dxa"/>
            <w:vAlign w:val="bottom"/>
          </w:tcPr>
          <w:p>
            <w:pPr>
              <w:spacing w:after="0"/>
              <w:rPr>
                <w:sz w:val="11"/>
                <w:szCs w:val="11"/>
                <w:color w:val="auto"/>
              </w:rPr>
            </w:pPr>
          </w:p>
        </w:tc>
        <w:tc>
          <w:tcPr>
            <w:tcW w:w="62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w w:val="86"/>
              </w:rPr>
              <w:t>January 1,</w:t>
            </w:r>
          </w:p>
        </w:tc>
        <w:tc>
          <w:tcPr>
            <w:tcW w:w="940" w:type="dxa"/>
            <w:vAlign w:val="bottom"/>
          </w:tcPr>
          <w:p>
            <w:pPr>
              <w:spacing w:after="0"/>
              <w:rPr>
                <w:sz w:val="11"/>
                <w:szCs w:val="11"/>
                <w:color w:val="auto"/>
              </w:rPr>
            </w:pPr>
          </w:p>
        </w:tc>
        <w:tc>
          <w:tcPr>
            <w:tcW w:w="136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6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200"/>
              <w:spacing w:after="0"/>
              <w:rPr>
                <w:sz w:val="20"/>
                <w:szCs w:val="20"/>
                <w:color w:val="auto"/>
              </w:rPr>
            </w:pPr>
            <w:r>
              <w:rPr>
                <w:rFonts w:ascii="Arial" w:cs="Arial" w:eastAsia="Arial" w:hAnsi="Arial"/>
                <w:sz w:val="14"/>
                <w:szCs w:val="14"/>
                <w:b w:val="1"/>
                <w:bCs w:val="1"/>
                <w:color w:val="auto"/>
              </w:rPr>
              <w:t>2010</w:t>
            </w:r>
          </w:p>
        </w:tc>
        <w:tc>
          <w:tcPr>
            <w:tcW w:w="3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97"/>
              <w:spacing w:after="0"/>
              <w:rPr>
                <w:sz w:val="20"/>
                <w:szCs w:val="20"/>
                <w:color w:val="auto"/>
              </w:rPr>
            </w:pPr>
            <w:r>
              <w:rPr>
                <w:rFonts w:ascii="Arial" w:cs="Arial" w:eastAsia="Arial" w:hAnsi="Arial"/>
                <w:sz w:val="14"/>
                <w:szCs w:val="14"/>
                <w:b w:val="1"/>
                <w:bCs w:val="1"/>
                <w:color w:val="auto"/>
                <w:w w:val="96"/>
              </w:rPr>
              <w:t>2010</w:t>
            </w:r>
          </w:p>
        </w:tc>
        <w:tc>
          <w:tcPr>
            <w:tcW w:w="940" w:type="dxa"/>
            <w:vAlign w:val="bottom"/>
          </w:tcPr>
          <w:p>
            <w:pPr>
              <w:spacing w:after="0"/>
              <w:rPr>
                <w:sz w:val="14"/>
                <w:szCs w:val="14"/>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3"/>
              </w:rPr>
              <w:t>Increase/(Decrease)</w:t>
            </w: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40" w:type="dxa"/>
            <w:vAlign w:val="bottom"/>
            <w:gridSpan w:val="3"/>
          </w:tcPr>
          <w:p>
            <w:pPr>
              <w:jc w:val="right"/>
              <w:spacing w:after="0" w:line="142" w:lineRule="exact"/>
              <w:rPr>
                <w:sz w:val="20"/>
                <w:szCs w:val="20"/>
                <w:color w:val="auto"/>
              </w:rPr>
            </w:pPr>
            <w:r>
              <w:rPr>
                <w:rFonts w:ascii="Arial" w:cs="Arial" w:eastAsia="Arial" w:hAnsi="Arial"/>
                <w:sz w:val="14"/>
                <w:szCs w:val="14"/>
                <w:b w:val="1"/>
                <w:bCs w:val="1"/>
                <w:color w:val="auto"/>
                <w:w w:val="96"/>
              </w:rPr>
              <w:t>(In millions, except</w:t>
            </w:r>
          </w:p>
        </w:tc>
        <w:tc>
          <w:tcPr>
            <w:tcW w:w="940" w:type="dxa"/>
            <w:vAlign w:val="bottom"/>
          </w:tcPr>
          <w:p>
            <w:pPr>
              <w:jc w:val="right"/>
              <w:ind w:right="112"/>
              <w:spacing w:after="0" w:line="142" w:lineRule="exact"/>
              <w:rPr>
                <w:sz w:val="20"/>
                <w:szCs w:val="20"/>
                <w:color w:val="auto"/>
              </w:rPr>
            </w:pPr>
            <w:r>
              <w:rPr>
                <w:rFonts w:ascii="Arial" w:cs="Arial" w:eastAsia="Arial" w:hAnsi="Arial"/>
                <w:sz w:val="14"/>
                <w:szCs w:val="14"/>
                <w:b w:val="1"/>
                <w:bCs w:val="1"/>
                <w:color w:val="auto"/>
                <w:w w:val="84"/>
              </w:rPr>
              <w:t>percentages)</w:t>
            </w:r>
          </w:p>
        </w:tc>
        <w:tc>
          <w:tcPr>
            <w:tcW w:w="1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4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Revenue</w:t>
            </w:r>
          </w:p>
        </w:tc>
        <w:tc>
          <w:tcPr>
            <w:tcW w:w="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b w:val="1"/>
                <w:bCs w:val="1"/>
                <w:color w:val="auto"/>
              </w:rPr>
              <w:t>157.2</w:t>
            </w:r>
          </w:p>
        </w:tc>
        <w:tc>
          <w:tcPr>
            <w:tcW w:w="740" w:type="dxa"/>
            <w:vAlign w:val="bottom"/>
            <w:gridSpan w:val="2"/>
            <w:shd w:val="clear" w:color="auto" w:fill="CCEEFF"/>
          </w:tcPr>
          <w:p>
            <w:pPr>
              <w:ind w:left="620"/>
              <w:spacing w:after="0"/>
              <w:rPr>
                <w:sz w:val="20"/>
                <w:szCs w:val="20"/>
                <w:color w:val="auto"/>
              </w:rPr>
            </w:pPr>
            <w:r>
              <w:rPr>
                <w:rFonts w:ascii="Arial" w:cs="Arial" w:eastAsia="Arial" w:hAnsi="Arial"/>
                <w:sz w:val="18"/>
                <w:szCs w:val="18"/>
                <w:b w:val="1"/>
                <w:bCs w:val="1"/>
                <w:color w:val="auto"/>
                <w:w w:val="9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145.2</w:t>
            </w:r>
          </w:p>
        </w:tc>
        <w:tc>
          <w:tcPr>
            <w:tcW w:w="9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8.3%</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4860" w:type="dxa"/>
            <w:vAlign w:val="bottom"/>
            <w:gridSpan w:val="2"/>
          </w:tcPr>
          <w:p>
            <w:pPr>
              <w:spacing w:after="0"/>
              <w:rPr>
                <w:sz w:val="20"/>
                <w:szCs w:val="20"/>
                <w:color w:val="auto"/>
              </w:rPr>
            </w:pPr>
            <w:r>
              <w:rPr>
                <w:rFonts w:ascii="Arial" w:cs="Arial" w:eastAsia="Arial" w:hAnsi="Arial"/>
                <w:sz w:val="18"/>
                <w:szCs w:val="18"/>
                <w:color w:val="auto"/>
              </w:rPr>
              <w:t>Segment operating income (loss)</w:t>
            </w:r>
          </w:p>
        </w:tc>
        <w:tc>
          <w:tcPr>
            <w:tcW w:w="180" w:type="dxa"/>
            <w:vAlign w:val="bottom"/>
          </w:tcPr>
          <w:p>
            <w:pPr>
              <w:spacing w:after="0"/>
              <w:rPr>
                <w:sz w:val="20"/>
                <w:szCs w:val="20"/>
                <w:color w:val="auto"/>
              </w:rPr>
            </w:pPr>
            <w:r>
              <w:rPr>
                <w:rFonts w:ascii="Arial" w:cs="Arial" w:eastAsia="Arial" w:hAnsi="Arial"/>
                <w:sz w:val="18"/>
                <w:szCs w:val="18"/>
                <w:b w:val="1"/>
                <w:bCs w:val="1"/>
                <w:color w:val="auto"/>
              </w:rPr>
              <w:t>$</w:t>
            </w:r>
          </w:p>
        </w:tc>
        <w:tc>
          <w:tcPr>
            <w:tcW w:w="100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(18.1)</w:t>
            </w:r>
          </w:p>
        </w:tc>
        <w:tc>
          <w:tcPr>
            <w:tcW w:w="740" w:type="dxa"/>
            <w:vAlign w:val="bottom"/>
            <w:gridSpan w:val="2"/>
          </w:tcPr>
          <w:p>
            <w:pPr>
              <w:ind w:left="620"/>
              <w:spacing w:after="0"/>
              <w:rPr>
                <w:sz w:val="20"/>
                <w:szCs w:val="20"/>
                <w:color w:val="auto"/>
              </w:rPr>
            </w:pPr>
            <w:r>
              <w:rPr>
                <w:rFonts w:ascii="Arial" w:cs="Arial" w:eastAsia="Arial" w:hAnsi="Arial"/>
                <w:sz w:val="18"/>
                <w:szCs w:val="18"/>
                <w:b w:val="1"/>
                <w:bCs w:val="1"/>
                <w:color w:val="auto"/>
                <w:w w:val="99"/>
              </w:rPr>
              <w:t>$</w:t>
            </w: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rPr>
              <w:t>0.2</w:t>
            </w:r>
          </w:p>
        </w:tc>
        <w:tc>
          <w:tcPr>
            <w:tcW w:w="94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N/M</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4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of revenue</w:t>
            </w: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(11.5)%</w:t>
            </w: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712"/>
              <w:spacing w:after="0"/>
              <w:rPr>
                <w:sz w:val="20"/>
                <w:szCs w:val="20"/>
                <w:color w:val="auto"/>
              </w:rPr>
            </w:pPr>
            <w:r>
              <w:rPr>
                <w:rFonts w:ascii="Arial" w:cs="Arial" w:eastAsia="Arial" w:hAnsi="Arial"/>
                <w:sz w:val="18"/>
                <w:szCs w:val="18"/>
                <w:b w:val="1"/>
                <w:bCs w:val="1"/>
                <w:color w:val="auto"/>
              </w:rPr>
              <w:t>0.1%</w:t>
            </w: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95"/>
        </w:trPr>
        <w:tc>
          <w:tcPr>
            <w:tcW w:w="92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4620" w:type="dxa"/>
            <w:vAlign w:val="bottom"/>
          </w:tcPr>
          <w:p>
            <w:pPr>
              <w:spacing w:after="0"/>
              <w:rPr>
                <w:sz w:val="8"/>
                <w:szCs w:val="8"/>
                <w:color w:val="auto"/>
              </w:rPr>
            </w:pPr>
          </w:p>
        </w:tc>
        <w:tc>
          <w:tcPr>
            <w:tcW w:w="180" w:type="dxa"/>
            <w:vAlign w:val="bottom"/>
          </w:tcPr>
          <w:p>
            <w:pPr>
              <w:spacing w:after="0"/>
              <w:rPr>
                <w:sz w:val="8"/>
                <w:szCs w:val="8"/>
                <w:color w:val="auto"/>
              </w:rPr>
            </w:pPr>
          </w:p>
        </w:tc>
        <w:tc>
          <w:tcPr>
            <w:tcW w:w="620" w:type="dxa"/>
            <w:vAlign w:val="bottom"/>
          </w:tcPr>
          <w:p>
            <w:pPr>
              <w:spacing w:after="0"/>
              <w:rPr>
                <w:sz w:val="8"/>
                <w:szCs w:val="8"/>
                <w:color w:val="auto"/>
              </w:rPr>
            </w:pPr>
          </w:p>
        </w:tc>
        <w:tc>
          <w:tcPr>
            <w:tcW w:w="380" w:type="dxa"/>
            <w:vAlign w:val="bottom"/>
          </w:tcPr>
          <w:p>
            <w:pPr>
              <w:spacing w:after="0"/>
              <w:rPr>
                <w:sz w:val="8"/>
                <w:szCs w:val="8"/>
                <w:color w:val="auto"/>
              </w:rPr>
            </w:pPr>
          </w:p>
        </w:tc>
        <w:tc>
          <w:tcPr>
            <w:tcW w:w="6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00" w:type="dxa"/>
            <w:vAlign w:val="bottom"/>
          </w:tcPr>
          <w:p>
            <w:pPr>
              <w:spacing w:after="0"/>
              <w:rPr>
                <w:sz w:val="8"/>
                <w:szCs w:val="8"/>
                <w:color w:val="auto"/>
              </w:rPr>
            </w:pPr>
          </w:p>
        </w:tc>
        <w:tc>
          <w:tcPr>
            <w:tcW w:w="9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N/M = Not statistically meaningful</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459"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The increase of our international revenue in the first two quarters of fiscal 2011 compared with the same period in fiscal 2010 resulted from significant increases in EMER, where increased orders for the current product platform were delivered in the second quarter of fiscal 2011. Revenue in the first two quarters of fiscal 2010 included a substantial amount of purchases from a customer in the Middle East that was not repeated in fiscal 2011. However, wireless customers in Russia that had reduced their capital spending sharply in calendar 2009 and early 2010 in response to the tightening in credit markets, increased spending allowing us to benefit from their incremental business in the first two quarters of fiscal 2011. Competitive pricing pressures in Russia continue to impact the business so future order levels may vary significantly. Finally, in the Asia Pacific region, the product mix varied from the first two quarters of fiscal 2011 as compared with the same period in fiscal 2010. In the second quarter of fiscal 2011, revenue from shipments of WiMAX product substantially increased in the region, mostly in India, while microwave business in other countries was flat or down compared to the previous year.</w:t>
      </w:r>
    </w:p>
    <w:p>
      <w:pPr>
        <w:spacing w:after="0" w:line="118"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Gross margin for the International segment in the first two quarters of fiscal 2010 was substantially enhanced by favorable pricing with certain customers in the Middle East, which was not repeated in the same period of fiscal 2011.</w:t>
      </w:r>
    </w:p>
    <w:p>
      <w:pPr>
        <w:spacing w:after="0" w:line="132"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The International segment operating loss for the first two quarters of fiscal 2011 included $2.1 million for restructuring charges and $0.4 million for share-based compensation.</w:t>
      </w:r>
    </w:p>
    <w:p>
      <w:pPr>
        <w:spacing w:after="0" w:line="132"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The International segment operating loss for the first two quarters of fiscal 2010 resulted primarily from the decline in revenue when compared with levels prior to fiscal 2010 without a corresponding decrease in cost structure and included $1.1 million of restructuring charges and $0.2 million for share-based compensation.</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Sources of Cash</w:t>
      </w:r>
    </w:p>
    <w:p>
      <w:pPr>
        <w:spacing w:after="0" w:line="90" w:lineRule="exact"/>
        <w:rPr>
          <w:sz w:val="20"/>
          <w:szCs w:val="20"/>
          <w:color w:val="auto"/>
        </w:rPr>
      </w:pPr>
    </w:p>
    <w:p>
      <w:pPr>
        <w:ind w:right="300" w:firstLine="456"/>
        <w:spacing w:after="0" w:line="306" w:lineRule="auto"/>
        <w:rPr>
          <w:sz w:val="20"/>
          <w:szCs w:val="20"/>
          <w:color w:val="auto"/>
        </w:rPr>
      </w:pPr>
      <w:r>
        <w:rPr>
          <w:rFonts w:ascii="Arial" w:cs="Arial" w:eastAsia="Arial" w:hAnsi="Arial"/>
          <w:sz w:val="16"/>
          <w:szCs w:val="16"/>
          <w:color w:val="auto"/>
        </w:rPr>
        <w:t>As of December 31, 2010, our total cash and cash equivalents was $102.4 million. Approximately $37.6 million or 37% of our total cash and cash equivalents was held by entities domiciled in the United States. The remaining balance of $64.8 million or 63% was held by entities outside the United States, primarily in Singapore, and could be subject to additional taxation if it were to be repatriated to the United States.</w:t>
      </w:r>
    </w:p>
    <w:p>
      <w:pPr>
        <w:spacing w:after="0" w:line="107" w:lineRule="exact"/>
        <w:rPr>
          <w:sz w:val="20"/>
          <w:szCs w:val="20"/>
          <w:color w:val="auto"/>
        </w:rPr>
      </w:pPr>
    </w:p>
    <w:p>
      <w:pPr>
        <w:ind w:right="160" w:firstLine="456"/>
        <w:spacing w:after="0" w:line="255" w:lineRule="auto"/>
        <w:rPr>
          <w:sz w:val="20"/>
          <w:szCs w:val="20"/>
          <w:color w:val="auto"/>
        </w:rPr>
      </w:pPr>
      <w:r>
        <w:rPr>
          <w:rFonts w:ascii="Arial" w:cs="Arial" w:eastAsia="Arial" w:hAnsi="Arial"/>
          <w:sz w:val="18"/>
          <w:szCs w:val="18"/>
          <w:color w:val="auto"/>
        </w:rPr>
        <w:t>As of December 31, 2010, our principal sources of liquidity consisted of the $102.4 million in cash and cash equivalents, $24.4 million of available credit under our current $40.0 million credit facility with Silicon Valley Bank, and cash collections from customers. Historically our primary sources of liquidity have been cash flows from operations, credit facilities and cash proceeds from sale of our equity securities. During the first two quarters of fiscal 2011, our total cash and cash equivalents decreased by $39.3 million primarily due to cash used in operating activities. During the first two quarters of fiscal 2010, we had positive operating cash flows of $3.9 million.</w:t>
      </w:r>
    </w:p>
    <w:p>
      <w:pPr>
        <w:spacing w:after="0" w:line="143" w:lineRule="exact"/>
        <w:rPr>
          <w:sz w:val="20"/>
          <w:szCs w:val="20"/>
          <w:color w:val="auto"/>
        </w:rPr>
      </w:pPr>
    </w:p>
    <w:p>
      <w:pPr>
        <w:ind w:right="80" w:firstLine="456"/>
        <w:spacing w:after="0" w:line="287" w:lineRule="auto"/>
        <w:rPr>
          <w:sz w:val="20"/>
          <w:szCs w:val="20"/>
          <w:color w:val="auto"/>
        </w:rPr>
      </w:pPr>
      <w:r>
        <w:rPr>
          <w:rFonts w:ascii="Arial" w:cs="Arial" w:eastAsia="Arial" w:hAnsi="Arial"/>
          <w:sz w:val="16"/>
          <w:szCs w:val="16"/>
          <w:color w:val="auto"/>
        </w:rPr>
        <w:t>Cash used in operating activities was $40.5 million in the first two quarters of fiscal 2011 primarily due to the net loss after non-cash adjustments of $27.3 million and a year-to-date increase in receivables of approximately $38.9 million, partially offset by a year-to-date increase in accounts payable of $23.7 million. Our cash collections in each of the first two quarters of fiscal year 2011 were substantially lower than in the fourth quarter of fiscal year 2010 in part due to shipment delays from the first quarter to the second quarter of fiscal 2011 including substantial shipments in the final month of the second quarter. This limited our ability to collect receivables at the end of each quarter. The shipment delays were caused by the transition to outsourced manufacturing and the global parts shortages. In addition, a higher than expected volume of shipments and the longer payment terms for WiMAX shipments have resulted in an increase in our accounts receivable balances at December 31, 2010. During the second quarter of fiscal 2011, we were able to re-negotiate longer payment terms with two of our largest contract manufacturers. The result of higher volume and more favorable payment terms increased our accounts payable balance at the end of the second quarter of fiscal 2011. We expect to continue using cash in our operating activities in the second half of fiscal 2011, but to a substantially lesser extent as compared with the amount of operating cash used in the first two quarters of fiscal 2011.</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459"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We believe that our existing cash and cash equivalents, the available line of credit and future cash collections from customers will be sufficient to meet our working capital requirements for next 12 months and the foreseeable future.</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Available Credit Facility and Repayment of Debt</w:t>
      </w:r>
    </w:p>
    <w:p>
      <w:pPr>
        <w:spacing w:after="0" w:line="90"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As of December 31, 2010, we had $24.4 million of credit available under our $40.0 million revolving credit facility with Silicon Valley Bank as mentioned above. The total amount of revolving credit available was $40.0 million less $6.0 million in outstanding short term loans which mature by September 30, 2011, and $9.6 million in outstanding standby letters of credit issued under the facility.</w:t>
      </w:r>
    </w:p>
    <w:p>
      <w:pPr>
        <w:spacing w:after="0" w:line="140" w:lineRule="exact"/>
        <w:rPr>
          <w:sz w:val="20"/>
          <w:szCs w:val="20"/>
          <w:color w:val="auto"/>
        </w:rPr>
      </w:pPr>
    </w:p>
    <w:p>
      <w:pPr>
        <w:ind w:right="180" w:firstLine="456"/>
        <w:spacing w:after="0" w:line="256" w:lineRule="auto"/>
        <w:rPr>
          <w:sz w:val="20"/>
          <w:szCs w:val="20"/>
          <w:color w:val="auto"/>
        </w:rPr>
      </w:pPr>
      <w:r>
        <w:rPr>
          <w:rFonts w:ascii="Arial" w:cs="Arial" w:eastAsia="Arial" w:hAnsi="Arial"/>
          <w:sz w:val="18"/>
          <w:szCs w:val="18"/>
          <w:color w:val="auto"/>
        </w:rPr>
        <w:t xml:space="preserve">The commitment of $40.0 million under the facility expires in September 2011 and provides for (1) demand borrowings at the prime rate published in the </w:t>
      </w:r>
      <w:r>
        <w:rPr>
          <w:rFonts w:ascii="Arial" w:cs="Arial" w:eastAsia="Arial" w:hAnsi="Arial"/>
          <w:sz w:val="18"/>
          <w:szCs w:val="18"/>
          <w:i w:val="1"/>
          <w:iCs w:val="1"/>
          <w:color w:val="auto"/>
        </w:rPr>
        <w:t>Wall Street Journal</w:t>
      </w:r>
      <w:r>
        <w:rPr>
          <w:rFonts w:ascii="Arial" w:cs="Arial" w:eastAsia="Arial" w:hAnsi="Arial"/>
          <w:sz w:val="18"/>
          <w:szCs w:val="18"/>
          <w:color w:val="auto"/>
        </w:rPr>
        <w:t>, (2) fixed term Eurodollar loans for up to six months at LIBOR plus a spread of between 2.00% to 2.75% based on the company’s current</w:t>
      </w:r>
      <w:r>
        <w:rPr>
          <w:rFonts w:ascii="Arial" w:cs="Arial" w:eastAsia="Arial" w:hAnsi="Arial"/>
          <w:sz w:val="18"/>
          <w:szCs w:val="18"/>
          <w:i w:val="1"/>
          <w:iCs w:val="1"/>
          <w:color w:val="auto"/>
        </w:rPr>
        <w:t xml:space="preserve"> </w:t>
      </w:r>
      <w:r>
        <w:rPr>
          <w:rFonts w:ascii="Arial" w:cs="Arial" w:eastAsia="Arial" w:hAnsi="Arial"/>
          <w:sz w:val="18"/>
          <w:szCs w:val="18"/>
          <w:color w:val="auto"/>
        </w:rPr>
        <w:t>leverage ratio and (3) the issuance of standby or commercial letters of credit. The facility contains a minimum liquidity ratio covenant and a minimum profitability covenant and is secured by the company’s assets.</w:t>
      </w:r>
    </w:p>
    <w:p>
      <w:pPr>
        <w:spacing w:after="0" w:line="143" w:lineRule="exact"/>
        <w:rPr>
          <w:sz w:val="20"/>
          <w:szCs w:val="20"/>
          <w:color w:val="auto"/>
        </w:rPr>
      </w:pPr>
    </w:p>
    <w:p>
      <w:pPr>
        <w:ind w:right="180" w:firstLine="456"/>
        <w:spacing w:after="0" w:line="306" w:lineRule="auto"/>
        <w:rPr>
          <w:sz w:val="20"/>
          <w:szCs w:val="20"/>
          <w:color w:val="auto"/>
        </w:rPr>
      </w:pPr>
      <w:r>
        <w:rPr>
          <w:rFonts w:ascii="Arial" w:cs="Arial" w:eastAsia="Arial" w:hAnsi="Arial"/>
          <w:sz w:val="16"/>
          <w:szCs w:val="16"/>
          <w:color w:val="auto"/>
        </w:rPr>
        <w:t>Based on covenants included as part of the credit facility we must maintain, as measured at the last day of each fiscal quarter, (1) no less than a minimum liquidity ratio of 2.50 to 1 (defined as the ratio of total domestic unrestricted cash and cash equivalents plus short-term and long-term marketable securities to total obligations outstanding with the bank) and (2) minimum consolidated EBITDA measured for each fiscal quarter as follows:</w:t>
      </w:r>
    </w:p>
    <w:p>
      <w:pPr>
        <w:spacing w:after="0" w:line="145" w:lineRule="exact"/>
        <w:rPr>
          <w:sz w:val="20"/>
          <w:szCs w:val="20"/>
          <w:color w:val="auto"/>
        </w:rPr>
      </w:pPr>
    </w:p>
    <w:tbl>
      <w:tblPr>
        <w:tblLayout w:type="fixed"/>
        <w:tblInd w:w="1840" w:type="dxa"/>
        <w:tblCellMar>
          <w:top w:w="0" w:type="dxa"/>
          <w:left w:w="0" w:type="dxa"/>
          <w:bottom w:w="0" w:type="dxa"/>
          <w:right w:w="0" w:type="dxa"/>
        </w:tblCellMar>
      </w:tblPr>
      <w:tr>
        <w:trPr>
          <w:trHeight w:val="173"/>
        </w:trPr>
        <w:tc>
          <w:tcPr>
            <w:tcW w:w="5900" w:type="dxa"/>
            <w:vAlign w:val="bottom"/>
            <w:gridSpan w:val="2"/>
          </w:tcPr>
          <w:p>
            <w:pPr>
              <w:spacing w:after="0"/>
              <w:rPr>
                <w:sz w:val="20"/>
                <w:szCs w:val="20"/>
                <w:color w:val="auto"/>
              </w:rPr>
            </w:pPr>
            <w:r>
              <w:rPr>
                <w:rFonts w:ascii="Arial" w:cs="Arial" w:eastAsia="Arial" w:hAnsi="Arial"/>
                <w:sz w:val="14"/>
                <w:szCs w:val="14"/>
                <w:color w:val="auto"/>
              </w:rPr>
              <w:t>Period</w:t>
            </w:r>
          </w:p>
        </w:tc>
        <w:tc>
          <w:tcPr>
            <w:tcW w:w="1860" w:type="dxa"/>
            <w:vAlign w:val="bottom"/>
            <w:gridSpan w:val="4"/>
          </w:tcPr>
          <w:p>
            <w:pPr>
              <w:ind w:left="660"/>
              <w:spacing w:after="0"/>
              <w:rPr>
                <w:sz w:val="20"/>
                <w:szCs w:val="20"/>
                <w:color w:val="auto"/>
              </w:rPr>
            </w:pPr>
            <w:r>
              <w:rPr>
                <w:rFonts w:ascii="Arial" w:cs="Arial" w:eastAsia="Arial" w:hAnsi="Arial"/>
                <w:sz w:val="14"/>
                <w:szCs w:val="14"/>
                <w:color w:val="auto"/>
              </w:rPr>
              <w:t>Minimum EBITDA</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88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Quarter ending October 1, 2010</w:t>
            </w: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4"/>
              </w:rPr>
              <w:t>(18,000,000)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tcPr>
          <w:p>
            <w:pPr>
              <w:spacing w:after="0"/>
              <w:rPr>
                <w:sz w:val="20"/>
                <w:szCs w:val="20"/>
                <w:color w:val="auto"/>
              </w:rPr>
            </w:pPr>
            <w:r>
              <w:rPr>
                <w:rFonts w:ascii="Arial" w:cs="Arial" w:eastAsia="Arial" w:hAnsi="Arial"/>
                <w:sz w:val="18"/>
                <w:szCs w:val="18"/>
                <w:color w:val="auto"/>
              </w:rPr>
              <w:t>Quarter ending December 31, 2010</w:t>
            </w:r>
          </w:p>
        </w:tc>
        <w:tc>
          <w:tcPr>
            <w:tcW w:w="820" w:type="dxa"/>
            <w:vAlign w:val="bottom"/>
            <w:gridSpan w:val="2"/>
          </w:tcPr>
          <w:p>
            <w:pPr>
              <w:ind w:left="66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w w:val="94"/>
              </w:rPr>
              <w:t>(10,500,000)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Quarter ending April 1, 2011</w:t>
            </w:r>
          </w:p>
        </w:tc>
        <w:tc>
          <w:tcPr>
            <w:tcW w:w="82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(7,000,000)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tcPr>
          <w:p>
            <w:pPr>
              <w:spacing w:after="0"/>
              <w:rPr>
                <w:sz w:val="20"/>
                <w:szCs w:val="20"/>
                <w:color w:val="auto"/>
              </w:rPr>
            </w:pPr>
            <w:r>
              <w:rPr>
                <w:rFonts w:ascii="Arial" w:cs="Arial" w:eastAsia="Arial" w:hAnsi="Arial"/>
                <w:sz w:val="18"/>
                <w:szCs w:val="18"/>
                <w:color w:val="auto"/>
              </w:rPr>
              <w:t>Quarter ending July 1, 2011</w:t>
            </w: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(2,500,000)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Each Quarter Thereafter</w:t>
            </w:r>
          </w:p>
        </w:tc>
        <w:tc>
          <w:tcPr>
            <w:tcW w:w="82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1,000,000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5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December 31, 2010, we were in compliance with these financial covenants.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Restructuring and Payments</w:t>
      </w:r>
    </w:p>
    <w:p>
      <w:pPr>
        <w:spacing w:after="0" w:line="90" w:lineRule="exact"/>
        <w:rPr>
          <w:sz w:val="20"/>
          <w:szCs w:val="20"/>
          <w:color w:val="auto"/>
        </w:rPr>
      </w:pPr>
    </w:p>
    <w:p>
      <w:pPr>
        <w:jc w:val="both"/>
        <w:ind w:right="160" w:firstLine="456"/>
        <w:spacing w:after="0" w:line="306" w:lineRule="auto"/>
        <w:rPr>
          <w:sz w:val="20"/>
          <w:szCs w:val="20"/>
          <w:color w:val="auto"/>
        </w:rPr>
      </w:pPr>
      <w:r>
        <w:rPr>
          <w:rFonts w:ascii="Arial" w:cs="Arial" w:eastAsia="Arial" w:hAnsi="Arial"/>
          <w:sz w:val="16"/>
          <w:szCs w:val="16"/>
          <w:color w:val="auto"/>
        </w:rPr>
        <w:t>We have a liability for restructuring activities totaling $6.7 million as of December 31, 2010, which is all classified as current liability and expected to be paid out in cash over the next year. Additionally, during the remainder of fiscal 2011, we expect to incur approximately $11.5 million of additional charges from our restructuring activities. We expect to fund these future payments with available cash and cash flow provided by operations.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Commercial Commitments and Contractual Obligations</w:t>
      </w:r>
    </w:p>
    <w:p>
      <w:pPr>
        <w:spacing w:after="0" w:line="96"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The amounts disclosed in our Fiscal 2010 Form 10-K include our commercial commitments and contractual obligations. During the quarter ended December 31, 2010, no material changes occurred in our contractual cash obligations to repay debt, to purchase goods and services and to make payments under operating leases or our commercial commitments and contingent liabilities on outstanding letters of credit, guarantees and other arrangements as disclosed in our Fiscal 2010 Form 10-K.</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w:t>
      </w:r>
    </w:p>
    <w:p>
      <w:pPr>
        <w:spacing w:after="0" w:line="96"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For information about our critical accounting estimates, see the “Critical Accounting Estimates” section of “Item 7. Management’s Discussion and Analysis of Financial Condition and Results of Operations” in our Annual Report on Form 10-K for the fiscal year ended July 2, 2010.</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459"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Impact of Recently Issued Accounting Pronouncements</w:t>
      </w:r>
    </w:p>
    <w:p>
      <w:pPr>
        <w:spacing w:after="0" w:line="96" w:lineRule="exact"/>
        <w:rPr>
          <w:sz w:val="20"/>
          <w:szCs w:val="20"/>
          <w:color w:val="auto"/>
        </w:rPr>
      </w:pPr>
    </w:p>
    <w:p>
      <w:pPr>
        <w:ind w:right="300" w:firstLine="456"/>
        <w:spacing w:after="0" w:line="259" w:lineRule="auto"/>
        <w:rPr>
          <w:sz w:val="20"/>
          <w:szCs w:val="20"/>
          <w:color w:val="auto"/>
        </w:rPr>
      </w:pPr>
      <w:r>
        <w:rPr>
          <w:rFonts w:ascii="Arial" w:cs="Arial" w:eastAsia="Arial" w:hAnsi="Arial"/>
          <w:sz w:val="18"/>
          <w:szCs w:val="18"/>
          <w:color w:val="auto"/>
        </w:rPr>
        <w:t>As described in “Note 2 — New Accounting Pronouncements” in the Notes to Condensed Consolidated Financial Statements, there are accounting pronouncements that have recently been issued but have not yet been implemented by us. Note 2 describes the potential impact that these pronouncements are expected to have on our financial position, results of operations and cash flows.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Risk Management</w:t>
      </w:r>
    </w:p>
    <w:p>
      <w:pPr>
        <w:spacing w:after="0" w:line="96" w:lineRule="exact"/>
        <w:rPr>
          <w:sz w:val="20"/>
          <w:szCs w:val="20"/>
          <w:color w:val="auto"/>
        </w:rPr>
      </w:pPr>
    </w:p>
    <w:p>
      <w:pPr>
        <w:ind w:right="500" w:firstLine="456"/>
        <w:spacing w:after="0" w:line="332" w:lineRule="auto"/>
        <w:rPr>
          <w:sz w:val="20"/>
          <w:szCs w:val="20"/>
          <w:color w:val="auto"/>
        </w:rPr>
      </w:pPr>
      <w:r>
        <w:rPr>
          <w:rFonts w:ascii="Arial" w:cs="Arial" w:eastAsia="Arial" w:hAnsi="Arial"/>
          <w:sz w:val="16"/>
          <w:szCs w:val="16"/>
          <w:color w:val="auto"/>
        </w:rPr>
        <w:t>In the normal course of doing business, we are exposed to the risks associated with foreign currency exchange rates and changes in interest rates. We employ established policies and procedures governing the use of financial instruments to manage our exposure to such risks.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Exchange Rate Risk</w:t>
      </w:r>
    </w:p>
    <w:p>
      <w:pPr>
        <w:spacing w:after="0" w:line="96" w:lineRule="exact"/>
        <w:rPr>
          <w:sz w:val="20"/>
          <w:szCs w:val="20"/>
          <w:color w:val="auto"/>
        </w:rPr>
      </w:pPr>
    </w:p>
    <w:p>
      <w:pPr>
        <w:ind w:right="620" w:firstLine="456"/>
        <w:spacing w:after="0" w:line="332" w:lineRule="auto"/>
        <w:rPr>
          <w:sz w:val="20"/>
          <w:szCs w:val="20"/>
          <w:color w:val="auto"/>
        </w:rPr>
      </w:pPr>
      <w:r>
        <w:rPr>
          <w:rFonts w:ascii="Arial" w:cs="Arial" w:eastAsia="Arial" w:hAnsi="Arial"/>
          <w:sz w:val="16"/>
          <w:szCs w:val="16"/>
          <w:color w:val="auto"/>
        </w:rPr>
        <w:t>Descriptions of our exchange rate risk are incorporated by reference from Part I, Item 1, Financial Statements — Notes to Condensed Consolidated Financial Statements — “Note 12 - Risk Management, Derivative Financial Instruments and Hedging Activities” in response to this item.</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exposure to market risk for changes in interest rates relates primarily to our cash equivalents and bank debt.</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Exposure on Cash and Cash Equivalents</w:t>
      </w:r>
    </w:p>
    <w:p>
      <w:pPr>
        <w:spacing w:after="0" w:line="96"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We do not use derivative financial instruments in our short-term investment portfolio. We invest in high-credit quality issues and, by policy, limit the amount of credit exposure to any one issuer and country. The portfolio includes only marketable securities with active secondary or resale markets to ensure portfolio liquidity. The portfolio is also diversified by maturity to ensure that funds are readily available as needed to meet our liquidity needs. This policy reduces the potential need to sell securities in order to meet liquidity needs and therefore the potential effect of changing market rates on the value of securities sold.</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had $102.4 million in total cash and cash equivalents as of December 31, 2010. Cash equivalents totaled $69.1 million as of December 31, 2010.</w:t>
      </w:r>
    </w:p>
    <w:p>
      <w:pPr>
        <w:spacing w:after="0" w:line="194" w:lineRule="exact"/>
        <w:rPr>
          <w:sz w:val="20"/>
          <w:szCs w:val="20"/>
          <w:color w:val="auto"/>
        </w:rPr>
      </w:pPr>
    </w:p>
    <w:p>
      <w:pPr>
        <w:ind w:right="200" w:firstLine="456"/>
        <w:spacing w:after="0" w:line="294" w:lineRule="auto"/>
        <w:rPr>
          <w:sz w:val="20"/>
          <w:szCs w:val="20"/>
          <w:color w:val="auto"/>
        </w:rPr>
      </w:pPr>
      <w:r>
        <w:rPr>
          <w:rFonts w:ascii="Arial" w:cs="Arial" w:eastAsia="Arial" w:hAnsi="Arial"/>
          <w:sz w:val="16"/>
          <w:szCs w:val="16"/>
          <w:color w:val="auto"/>
        </w:rPr>
        <w:t>The primary objective of our short-term investment activities is to preserve principal while maximizing yields, without significantly increasing risk. Our cash equivalents earn interest at fixed rates; therefore, changes in interest rates will not generate a gain or loss on these investments unless they are sold prior to maturity. Actual gains and losses due to the sale of our investments prior to maturity have been immaterial. The weighted average days to maturity for cash equivalents held as of December 31, 2010 was one day, and these investments had an average yield of 0.15% per annum. A 10% change in interest rates on our cash and cash equivalents is not expected to have a material impact on our financial position, results of operations or cash flows.</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Cash equivalents have been recorded at fair value on our balance sheet.</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Exposure on Borrowings</w:t>
      </w:r>
    </w:p>
    <w:p>
      <w:pPr>
        <w:spacing w:after="0" w:line="96"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During the second quarter of fiscal 2011, we had $6.0 million of short-term borrowings outstanding under our $40.0 million revolving credit facility that incurred interest at the prime rate. During the second quarter of fiscal 2011, our weighted average interest rate was 3.25% and we recorded total interest expense of less than $0.1 million on these borrowings.</w:t>
      </w:r>
    </w:p>
    <w:p>
      <w:pPr>
        <w:spacing w:after="0" w:line="140"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A 10% change in interest rates on the current borrowings or on future borrowings is not expected to have a material impact on our financial position, results of operations or cash flows since interest on our short-term debt is not material to our overall financial position.</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459"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96"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We maintain disclosure controls and procedures that are designed to ensure that information required to be disclosed in our reports filed or submitted under the Exchange Act is recorded, processed, summarized and reported within the time periods specified in SEC rules and forms. Our disclosure controls and procedures include, without limitation, controls and procedures designed to ensure that information required to be disclosed in our reports filed under the Exchange Act is accumulated and communicated to management, including our Chief Executive Officer and Chief Financial Officer, as appropriate to allow timely decisions regarding required disclosures. There are inherent limitations to the effectiveness of any system of disclosure controls and procedures, including the possibility of human error and the circumvention or overriding of the controls and procedures. Accordingly, even effective disclosure controls and procedures can only provide reasonable assurance of achieving their control objectives.</w:t>
      </w:r>
    </w:p>
    <w:p>
      <w:pPr>
        <w:spacing w:after="0" w:line="118"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Management has conducted an evaluation, under the supervision and with the participation of the Chief Executive Officer and Chief Financial Officer, of the effectiveness of the design and operation of our disclosure controls and procedures (as defined in Rules 13a-15(e) and 15d-15(e) under the Securities Exchange Act of 1934, as amended). Based on this evaluation, the Chief Executive Officer and Chief Financial Officer concluded that our disclosure controls and procedures were effective as of December 31, 2010.</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96"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There has been no change in our internal controls over financial reporting during our most recently completed fiscal quarter that has materially affected, or is reasonably likely to materially affect, our internal controls over financial reporting.</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380"/>
          </w:cols>
          <w:pgMar w:left="240" w:top="459" w:right="27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 OTHER INFORMATION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96" w:lineRule="exact"/>
        <w:rPr>
          <w:sz w:val="20"/>
          <w:szCs w:val="20"/>
          <w:color w:val="auto"/>
        </w:rPr>
      </w:pPr>
    </w:p>
    <w:p>
      <w:pPr>
        <w:ind w:right="660" w:firstLine="456"/>
        <w:spacing w:after="0" w:line="268" w:lineRule="auto"/>
        <w:rPr>
          <w:sz w:val="20"/>
          <w:szCs w:val="20"/>
          <w:color w:val="auto"/>
        </w:rPr>
      </w:pPr>
      <w:r>
        <w:rPr>
          <w:rFonts w:ascii="Arial" w:cs="Arial" w:eastAsia="Arial" w:hAnsi="Arial"/>
          <w:sz w:val="18"/>
          <w:szCs w:val="18"/>
          <w:color w:val="auto"/>
        </w:rPr>
        <w:t>Descriptions of our legal proceedings are incorporated by reference from Part I, Item 1, Financial Statements — Notes to Condensed Consolidated Financial Statements — “Note 13 – Legal Proceedings” in response to this item.</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96"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Investors should carefully review and consider the information regarding certain factors which could materially affect our business, operating results, cash flows and financial condition set forth under Item 1A, Risk Factors, in our Fiscal 2010 Form 10-K.</w:t>
      </w:r>
    </w:p>
    <w:p>
      <w:pPr>
        <w:spacing w:after="0" w:line="132" w:lineRule="exact"/>
        <w:rPr>
          <w:sz w:val="20"/>
          <w:szCs w:val="20"/>
          <w:color w:val="auto"/>
        </w:rPr>
      </w:pPr>
    </w:p>
    <w:p>
      <w:pPr>
        <w:ind w:right="480" w:firstLine="456"/>
        <w:spacing w:after="0" w:line="306" w:lineRule="auto"/>
        <w:rPr>
          <w:sz w:val="20"/>
          <w:szCs w:val="20"/>
          <w:color w:val="auto"/>
        </w:rPr>
      </w:pPr>
      <w:r>
        <w:rPr>
          <w:rFonts w:ascii="Arial" w:cs="Arial" w:eastAsia="Arial" w:hAnsi="Arial"/>
          <w:sz w:val="16"/>
          <w:szCs w:val="16"/>
          <w:color w:val="auto"/>
        </w:rPr>
        <w:t>We do not believe that there have been any other material additions or changes to the risk factors previously disclosed in our Fiscal 2010 Form 10-K, although we may disclose changes to such factors or disclose additional factors from time to time in our future filings with the SEC. Additional risks and uncertainties not presently known to us or that we currently deem immaterial also may impair our business operations.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exhibits are filed herewith or incorporated by reference to exhibits previously filed with the SEC:</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0" w:type="dxa"/>
            <w:vAlign w:val="bottom"/>
          </w:tcPr>
          <w:p>
            <w:pPr>
              <w:jc w:val="center"/>
              <w:spacing w:after="0"/>
              <w:rPr>
                <w:sz w:val="20"/>
                <w:szCs w:val="20"/>
                <w:color w:val="auto"/>
              </w:rPr>
            </w:pPr>
            <w:r>
              <w:rPr>
                <w:rFonts w:ascii="Arial" w:cs="Arial" w:eastAsia="Arial" w:hAnsi="Arial"/>
                <w:sz w:val="14"/>
                <w:szCs w:val="14"/>
                <w:b w:val="1"/>
                <w:bCs w:val="1"/>
                <w:color w:val="auto"/>
                <w:w w:val="94"/>
              </w:rPr>
              <w:t>Exhibit</w:t>
            </w:r>
          </w:p>
        </w:tc>
        <w:tc>
          <w:tcPr>
            <w:tcW w:w="340" w:type="dxa"/>
            <w:vAlign w:val="bottom"/>
          </w:tcPr>
          <w:p>
            <w:pPr>
              <w:spacing w:after="0"/>
              <w:rPr>
                <w:sz w:val="14"/>
                <w:szCs w:val="14"/>
                <w:color w:val="auto"/>
              </w:rPr>
            </w:pPr>
          </w:p>
        </w:tc>
        <w:tc>
          <w:tcPr>
            <w:tcW w:w="10500" w:type="dxa"/>
            <w:vAlign w:val="bottom"/>
          </w:tcPr>
          <w:p>
            <w:pPr>
              <w:spacing w:after="0"/>
              <w:rPr>
                <w:sz w:val="14"/>
                <w:szCs w:val="14"/>
                <w:color w:val="auto"/>
              </w:rPr>
            </w:pPr>
          </w:p>
        </w:tc>
      </w:tr>
      <w:tr>
        <w:trPr>
          <w:trHeight w:val="175"/>
        </w:trPr>
        <w:tc>
          <w:tcPr>
            <w:tcW w:w="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Number</w:t>
            </w:r>
          </w:p>
        </w:tc>
        <w:tc>
          <w:tcPr>
            <w:tcW w:w="340" w:type="dxa"/>
            <w:vAlign w:val="bottom"/>
          </w:tcPr>
          <w:p>
            <w:pPr>
              <w:spacing w:after="0"/>
              <w:rPr>
                <w:sz w:val="15"/>
                <w:szCs w:val="15"/>
                <w:color w:val="auto"/>
              </w:rPr>
            </w:pPr>
          </w:p>
        </w:tc>
        <w:tc>
          <w:tcPr>
            <w:tcW w:w="10500" w:type="dxa"/>
            <w:vAlign w:val="bottom"/>
            <w:tcBorders>
              <w:bottom w:val="single" w:sz="8" w:color="auto"/>
            </w:tcBorders>
          </w:tcPr>
          <w:p>
            <w:pPr>
              <w:ind w:left="4920"/>
              <w:spacing w:after="0"/>
              <w:rPr>
                <w:sz w:val="20"/>
                <w:szCs w:val="20"/>
                <w:color w:val="auto"/>
              </w:rPr>
            </w:pPr>
            <w:r>
              <w:rPr>
                <w:rFonts w:ascii="Arial" w:cs="Arial" w:eastAsia="Arial" w:hAnsi="Arial"/>
                <w:sz w:val="14"/>
                <w:szCs w:val="14"/>
                <w:b w:val="1"/>
                <w:bCs w:val="1"/>
                <w:color w:val="auto"/>
              </w:rPr>
              <w:t>Description</w:t>
            </w:r>
          </w:p>
        </w:tc>
      </w:tr>
      <w:tr>
        <w:trPr>
          <w:trHeight w:val="310"/>
        </w:trPr>
        <w:tc>
          <w:tcPr>
            <w:tcW w:w="580" w:type="dxa"/>
            <w:vAlign w:val="bottom"/>
          </w:tcPr>
          <w:p>
            <w:pPr>
              <w:jc w:val="center"/>
              <w:spacing w:after="0"/>
              <w:rPr>
                <w:sz w:val="20"/>
                <w:szCs w:val="20"/>
                <w:color w:val="auto"/>
              </w:rPr>
            </w:pPr>
            <w:r>
              <w:rPr>
                <w:rFonts w:ascii="Arial" w:cs="Arial" w:eastAsia="Arial" w:hAnsi="Arial"/>
                <w:sz w:val="18"/>
                <w:szCs w:val="18"/>
                <w:color w:val="auto"/>
                <w:w w:val="93"/>
              </w:rPr>
              <w:t>(10.1)</w:t>
            </w:r>
          </w:p>
        </w:tc>
        <w:tc>
          <w:tcPr>
            <w:tcW w:w="340" w:type="dxa"/>
            <w:vAlign w:val="bottom"/>
          </w:tcPr>
          <w:p>
            <w:pPr>
              <w:spacing w:after="0"/>
              <w:rPr>
                <w:sz w:val="24"/>
                <w:szCs w:val="24"/>
                <w:color w:val="auto"/>
              </w:rPr>
            </w:pPr>
          </w:p>
        </w:tc>
        <w:tc>
          <w:tcPr>
            <w:tcW w:w="10500" w:type="dxa"/>
            <w:vAlign w:val="bottom"/>
          </w:tcPr>
          <w:p>
            <w:pPr>
              <w:spacing w:after="0"/>
              <w:rPr>
                <w:sz w:val="20"/>
                <w:szCs w:val="20"/>
                <w:color w:val="auto"/>
              </w:rPr>
            </w:pPr>
            <w:r>
              <w:rPr>
                <w:rFonts w:ascii="Arial" w:cs="Arial" w:eastAsia="Arial" w:hAnsi="Arial"/>
                <w:sz w:val="18"/>
                <w:szCs w:val="18"/>
                <w:color w:val="auto"/>
                <w:w w:val="89"/>
              </w:rPr>
              <w:t>Employment Agreement, dated December 30, 2010 between Aviat Networks, Inc. and John J. Madigan (incorporated by reference to Exhibit 10.1 to</w:t>
            </w:r>
          </w:p>
        </w:tc>
      </w:tr>
      <w:tr>
        <w:trPr>
          <w:trHeight w:val="216"/>
        </w:trPr>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500" w:type="dxa"/>
            <w:vAlign w:val="bottom"/>
          </w:tcPr>
          <w:p>
            <w:pPr>
              <w:spacing w:after="0"/>
              <w:rPr>
                <w:sz w:val="20"/>
                <w:szCs w:val="20"/>
                <w:color w:val="auto"/>
              </w:rPr>
            </w:pPr>
            <w:r>
              <w:rPr>
                <w:rFonts w:ascii="Arial" w:cs="Arial" w:eastAsia="Arial" w:hAnsi="Arial"/>
                <w:sz w:val="18"/>
                <w:szCs w:val="18"/>
                <w:color w:val="auto"/>
              </w:rPr>
              <w:t>the Report on Form 8-K filed with the Securities and Exchange</w:t>
            </w:r>
          </w:p>
        </w:tc>
      </w:tr>
      <w:tr>
        <w:trPr>
          <w:trHeight w:val="222"/>
        </w:trPr>
        <w:tc>
          <w:tcPr>
            <w:tcW w:w="5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500" w:type="dxa"/>
            <w:vAlign w:val="bottom"/>
          </w:tcPr>
          <w:p>
            <w:pPr>
              <w:spacing w:after="0"/>
              <w:rPr>
                <w:sz w:val="20"/>
                <w:szCs w:val="20"/>
                <w:color w:val="auto"/>
              </w:rPr>
            </w:pPr>
            <w:r>
              <w:rPr>
                <w:rFonts w:ascii="Arial" w:cs="Arial" w:eastAsia="Arial" w:hAnsi="Arial"/>
                <w:sz w:val="18"/>
                <w:szCs w:val="18"/>
                <w:color w:val="auto"/>
              </w:rPr>
              <w:t>Commission on January 4, 2011, File No. 001-33278).</w:t>
            </w:r>
          </w:p>
        </w:tc>
      </w:tr>
      <w:tr>
        <w:trPr>
          <w:trHeight w:val="338"/>
        </w:trPr>
        <w:tc>
          <w:tcPr>
            <w:tcW w:w="580" w:type="dxa"/>
            <w:vAlign w:val="bottom"/>
          </w:tcPr>
          <w:p>
            <w:pPr>
              <w:jc w:val="center"/>
              <w:spacing w:after="0"/>
              <w:rPr>
                <w:sz w:val="20"/>
                <w:szCs w:val="20"/>
                <w:color w:val="auto"/>
              </w:rPr>
            </w:pPr>
            <w:r>
              <w:rPr>
                <w:rFonts w:ascii="Arial" w:cs="Arial" w:eastAsia="Arial" w:hAnsi="Arial"/>
                <w:sz w:val="18"/>
                <w:szCs w:val="18"/>
                <w:color w:val="auto"/>
                <w:w w:val="93"/>
              </w:rPr>
              <w:t>(31.1)</w:t>
            </w:r>
          </w:p>
        </w:tc>
        <w:tc>
          <w:tcPr>
            <w:tcW w:w="340" w:type="dxa"/>
            <w:vAlign w:val="bottom"/>
          </w:tcPr>
          <w:p>
            <w:pPr>
              <w:spacing w:after="0"/>
              <w:rPr>
                <w:sz w:val="24"/>
                <w:szCs w:val="24"/>
                <w:color w:val="auto"/>
              </w:rPr>
            </w:pPr>
          </w:p>
        </w:tc>
        <w:tc>
          <w:tcPr>
            <w:tcW w:w="10500" w:type="dxa"/>
            <w:vAlign w:val="bottom"/>
          </w:tcPr>
          <w:p>
            <w:pPr>
              <w:spacing w:after="0"/>
              <w:rPr>
                <w:sz w:val="20"/>
                <w:szCs w:val="20"/>
                <w:color w:val="auto"/>
              </w:rPr>
            </w:pPr>
            <w:r>
              <w:rPr>
                <w:rFonts w:ascii="Arial" w:cs="Arial" w:eastAsia="Arial" w:hAnsi="Arial"/>
                <w:sz w:val="18"/>
                <w:szCs w:val="18"/>
                <w:color w:val="auto"/>
              </w:rPr>
              <w:t>Rule 13a-14(a)/15d-14(a) Certification of Chief Executive Officer.</w:t>
            </w:r>
          </w:p>
        </w:tc>
      </w:tr>
      <w:tr>
        <w:trPr>
          <w:trHeight w:val="324"/>
        </w:trPr>
        <w:tc>
          <w:tcPr>
            <w:tcW w:w="580" w:type="dxa"/>
            <w:vAlign w:val="bottom"/>
          </w:tcPr>
          <w:p>
            <w:pPr>
              <w:jc w:val="center"/>
              <w:spacing w:after="0"/>
              <w:rPr>
                <w:sz w:val="20"/>
                <w:szCs w:val="20"/>
                <w:color w:val="auto"/>
              </w:rPr>
            </w:pPr>
            <w:r>
              <w:rPr>
                <w:rFonts w:ascii="Arial" w:cs="Arial" w:eastAsia="Arial" w:hAnsi="Arial"/>
                <w:sz w:val="18"/>
                <w:szCs w:val="18"/>
                <w:color w:val="auto"/>
                <w:w w:val="93"/>
              </w:rPr>
              <w:t>(31.2)</w:t>
            </w:r>
          </w:p>
        </w:tc>
        <w:tc>
          <w:tcPr>
            <w:tcW w:w="340" w:type="dxa"/>
            <w:vAlign w:val="bottom"/>
          </w:tcPr>
          <w:p>
            <w:pPr>
              <w:spacing w:after="0"/>
              <w:rPr>
                <w:sz w:val="24"/>
                <w:szCs w:val="24"/>
                <w:color w:val="auto"/>
              </w:rPr>
            </w:pPr>
          </w:p>
        </w:tc>
        <w:tc>
          <w:tcPr>
            <w:tcW w:w="10500" w:type="dxa"/>
            <w:vAlign w:val="bottom"/>
          </w:tcPr>
          <w:p>
            <w:pPr>
              <w:spacing w:after="0"/>
              <w:rPr>
                <w:sz w:val="20"/>
                <w:szCs w:val="20"/>
                <w:color w:val="auto"/>
              </w:rPr>
            </w:pPr>
            <w:r>
              <w:rPr>
                <w:rFonts w:ascii="Arial" w:cs="Arial" w:eastAsia="Arial" w:hAnsi="Arial"/>
                <w:sz w:val="18"/>
                <w:szCs w:val="18"/>
                <w:color w:val="auto"/>
              </w:rPr>
              <w:t>Rule 13a-14(a)/15d-14(a) Certification of Chief Financial Officer.</w:t>
            </w:r>
          </w:p>
        </w:tc>
      </w:tr>
      <w:tr>
        <w:trPr>
          <w:trHeight w:val="324"/>
        </w:trPr>
        <w:tc>
          <w:tcPr>
            <w:tcW w:w="580" w:type="dxa"/>
            <w:vAlign w:val="bottom"/>
          </w:tcPr>
          <w:p>
            <w:pPr>
              <w:jc w:val="center"/>
              <w:spacing w:after="0"/>
              <w:rPr>
                <w:sz w:val="20"/>
                <w:szCs w:val="20"/>
                <w:color w:val="auto"/>
              </w:rPr>
            </w:pPr>
            <w:r>
              <w:rPr>
                <w:rFonts w:ascii="Arial" w:cs="Arial" w:eastAsia="Arial" w:hAnsi="Arial"/>
                <w:sz w:val="18"/>
                <w:szCs w:val="18"/>
                <w:color w:val="auto"/>
                <w:w w:val="93"/>
              </w:rPr>
              <w:t>(32.1)</w:t>
            </w:r>
          </w:p>
        </w:tc>
        <w:tc>
          <w:tcPr>
            <w:tcW w:w="340" w:type="dxa"/>
            <w:vAlign w:val="bottom"/>
          </w:tcPr>
          <w:p>
            <w:pPr>
              <w:spacing w:after="0"/>
              <w:rPr>
                <w:sz w:val="24"/>
                <w:szCs w:val="24"/>
                <w:color w:val="auto"/>
              </w:rPr>
            </w:pPr>
          </w:p>
        </w:tc>
        <w:tc>
          <w:tcPr>
            <w:tcW w:w="10500" w:type="dxa"/>
            <w:vAlign w:val="bottom"/>
          </w:tcPr>
          <w:p>
            <w:pPr>
              <w:spacing w:after="0"/>
              <w:rPr>
                <w:sz w:val="20"/>
                <w:szCs w:val="20"/>
                <w:color w:val="auto"/>
              </w:rPr>
            </w:pPr>
            <w:r>
              <w:rPr>
                <w:rFonts w:ascii="Arial" w:cs="Arial" w:eastAsia="Arial" w:hAnsi="Arial"/>
                <w:sz w:val="18"/>
                <w:szCs w:val="18"/>
                <w:color w:val="auto"/>
              </w:rPr>
              <w:t>Section 1350 Certification of Chief Executive Officer and Chief Financial Officer.</w:t>
            </w:r>
          </w:p>
        </w:tc>
      </w:tr>
      <w:tr>
        <w:trPr>
          <w:trHeight w:val="365"/>
        </w:trPr>
        <w:tc>
          <w:tcPr>
            <w:tcW w:w="580" w:type="dxa"/>
            <w:vAlign w:val="bottom"/>
          </w:tcPr>
          <w:p>
            <w:pPr>
              <w:spacing w:after="0"/>
              <w:rPr>
                <w:sz w:val="24"/>
                <w:szCs w:val="24"/>
                <w:color w:val="auto"/>
              </w:rPr>
            </w:pPr>
          </w:p>
        </w:tc>
        <w:tc>
          <w:tcPr>
            <w:tcW w:w="10840" w:type="dxa"/>
            <w:vAlign w:val="bottom"/>
            <w:gridSpan w:val="2"/>
          </w:tcPr>
          <w:p>
            <w:pPr>
              <w:jc w:val="right"/>
              <w:ind w:right="5535"/>
              <w:spacing w:after="0"/>
              <w:rPr>
                <w:sz w:val="20"/>
                <w:szCs w:val="20"/>
                <w:color w:val="auto"/>
              </w:rPr>
            </w:pPr>
            <w:r>
              <w:rPr>
                <w:rFonts w:ascii="Arial" w:cs="Arial" w:eastAsia="Arial" w:hAnsi="Arial"/>
                <w:sz w:val="18"/>
                <w:szCs w:val="18"/>
                <w:color w:val="auto"/>
              </w:rPr>
              <w:t>31</w:t>
            </w:r>
          </w:p>
        </w:tc>
      </w:tr>
    </w:tbl>
    <w:p>
      <w:pPr>
        <w:sectPr>
          <w:pgSz w:w="11900" w:h="16838" w:orient="portrait"/>
          <w:cols w:equalWidth="0" w:num="1">
            <w:col w:w="11420"/>
          </w:cols>
          <w:pgMar w:left="240" w:top="459" w:right="2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SIGNATURE</w:t>
      </w:r>
    </w:p>
    <w:p>
      <w:pPr>
        <w:spacing w:after="0" w:line="17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2" w:lineRule="exact"/>
        <w:rPr>
          <w:sz w:val="20"/>
          <w:szCs w:val="20"/>
          <w:color w:val="auto"/>
        </w:rPr>
      </w:pPr>
    </w:p>
    <w:p>
      <w:pPr>
        <w:ind w:left="5920"/>
        <w:spacing w:after="0"/>
        <w:rPr>
          <w:sz w:val="20"/>
          <w:szCs w:val="20"/>
          <w:color w:val="auto"/>
        </w:rPr>
      </w:pPr>
      <w:r>
        <w:rPr>
          <w:rFonts w:ascii="Arial" w:cs="Arial" w:eastAsia="Arial" w:hAnsi="Arial"/>
          <w:sz w:val="18"/>
          <w:szCs w:val="18"/>
          <w:color w:val="auto"/>
        </w:rPr>
        <w:t>AVIAT NETWORKS, INC.</w:t>
      </w:r>
    </w:p>
    <w:p>
      <w:pPr>
        <w:spacing w:after="0" w:line="15" w:lineRule="exact"/>
        <w:rPr>
          <w:sz w:val="20"/>
          <w:szCs w:val="20"/>
          <w:color w:val="auto"/>
        </w:rPr>
      </w:pPr>
    </w:p>
    <w:p>
      <w:pPr>
        <w:ind w:left="5920"/>
        <w:spacing w:after="0"/>
        <w:rPr>
          <w:sz w:val="20"/>
          <w:szCs w:val="20"/>
          <w:color w:val="auto"/>
        </w:rPr>
      </w:pPr>
      <w:r>
        <w:rPr>
          <w:rFonts w:ascii="Arial" w:cs="Arial" w:eastAsia="Arial" w:hAnsi="Arial"/>
          <w:sz w:val="18"/>
          <w:szCs w:val="18"/>
          <w:color w:val="auto"/>
        </w:rPr>
        <w:t>Registrant)</w:t>
      </w:r>
    </w:p>
    <w:p>
      <w:pPr>
        <w:spacing w:after="0" w:line="219" w:lineRule="exact"/>
        <w:rPr>
          <w:sz w:val="20"/>
          <w:szCs w:val="20"/>
          <w:color w:val="auto"/>
        </w:rPr>
      </w:pPr>
    </w:p>
    <w:p>
      <w:pPr>
        <w:spacing w:after="0"/>
        <w:tabs>
          <w:tab w:leader="none" w:pos="5900" w:val="left"/>
        </w:tabs>
        <w:rPr>
          <w:sz w:val="20"/>
          <w:szCs w:val="20"/>
          <w:color w:val="auto"/>
        </w:rPr>
      </w:pPr>
      <w:r>
        <w:rPr>
          <w:rFonts w:ascii="Arial" w:cs="Arial" w:eastAsia="Arial" w:hAnsi="Arial"/>
          <w:sz w:val="18"/>
          <w:szCs w:val="18"/>
          <w:color w:val="auto"/>
        </w:rPr>
        <w:t>Date: February 9, 2011</w:t>
      </w:r>
      <w:r>
        <w:rPr>
          <w:sz w:val="20"/>
          <w:szCs w:val="20"/>
          <w:color w:val="auto"/>
        </w:rPr>
        <w:tab/>
      </w:r>
      <w:r>
        <w:rPr>
          <w:rFonts w:ascii="Arial" w:cs="Arial" w:eastAsia="Arial" w:hAnsi="Arial"/>
          <w:sz w:val="16"/>
          <w:szCs w:val="16"/>
          <w:color w:val="auto"/>
        </w:rPr>
        <w:t>By:  /s/ John J. Madigan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10795</wp:posOffset>
            </wp:positionV>
            <wp:extent cx="325882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22"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John J. Madigan</w:t>
      </w:r>
    </w:p>
    <w:p>
      <w:pPr>
        <w:spacing w:after="0" w:line="9"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Vice President, Corporate Controller and</w:t>
      </w:r>
    </w:p>
    <w:p>
      <w:pPr>
        <w:spacing w:after="0" w:line="9"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Principal Accounting Officer</w:t>
      </w:r>
    </w:p>
    <w:p>
      <w:pPr>
        <w:spacing w:after="0" w:line="9"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(principal accounting officer and</w:t>
      </w:r>
    </w:p>
    <w:p>
      <w:pPr>
        <w:spacing w:after="0" w:line="9"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duly authorized officer)</w:t>
      </w:r>
    </w:p>
    <w:p>
      <w:pPr>
        <w:spacing w:after="0" w:line="16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00"/>
          </w:cols>
          <w:pgMar w:left="240" w:top="459" w:right="25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500" w:type="dxa"/>
            <w:vAlign w:val="bottom"/>
          </w:tcPr>
          <w:p>
            <w:pPr>
              <w:ind w:left="4120"/>
              <w:spacing w:after="0"/>
              <w:rPr>
                <w:sz w:val="20"/>
                <w:szCs w:val="20"/>
                <w:color w:val="auto"/>
              </w:rPr>
            </w:pPr>
            <w:r>
              <w:rPr>
                <w:rFonts w:ascii="Arial" w:cs="Arial" w:eastAsia="Arial" w:hAnsi="Arial"/>
                <w:sz w:val="18"/>
                <w:szCs w:val="18"/>
                <w:b w:val="1"/>
                <w:bCs w:val="1"/>
                <w:color w:val="auto"/>
              </w:rPr>
              <w:t>EXHIBIT INDEX</w:t>
            </w:r>
          </w:p>
        </w:tc>
      </w:tr>
      <w:tr>
        <w:trPr>
          <w:trHeight w:val="340"/>
        </w:trPr>
        <w:tc>
          <w:tcPr>
            <w:tcW w:w="580" w:type="dxa"/>
            <w:vAlign w:val="bottom"/>
          </w:tcPr>
          <w:p>
            <w:pPr>
              <w:ind w:left="80"/>
              <w:spacing w:after="0"/>
              <w:rPr>
                <w:sz w:val="20"/>
                <w:szCs w:val="20"/>
                <w:color w:val="auto"/>
              </w:rPr>
            </w:pPr>
            <w:r>
              <w:rPr>
                <w:rFonts w:ascii="Arial" w:cs="Arial" w:eastAsia="Arial" w:hAnsi="Arial"/>
                <w:sz w:val="14"/>
                <w:szCs w:val="14"/>
                <w:b w:val="1"/>
                <w:bCs w:val="1"/>
                <w:color w:val="auto"/>
              </w:rPr>
              <w:t>Exhibit</w:t>
            </w:r>
          </w:p>
        </w:tc>
        <w:tc>
          <w:tcPr>
            <w:tcW w:w="340" w:type="dxa"/>
            <w:vAlign w:val="bottom"/>
          </w:tcPr>
          <w:p>
            <w:pPr>
              <w:spacing w:after="0"/>
              <w:rPr>
                <w:sz w:val="24"/>
                <w:szCs w:val="24"/>
                <w:color w:val="auto"/>
              </w:rPr>
            </w:pPr>
          </w:p>
        </w:tc>
        <w:tc>
          <w:tcPr>
            <w:tcW w:w="10500" w:type="dxa"/>
            <w:vAlign w:val="bottom"/>
          </w:tcPr>
          <w:p>
            <w:pPr>
              <w:spacing w:after="0"/>
              <w:rPr>
                <w:sz w:val="24"/>
                <w:szCs w:val="24"/>
                <w:color w:val="auto"/>
              </w:rPr>
            </w:pPr>
          </w:p>
        </w:tc>
      </w:tr>
      <w:tr>
        <w:trPr>
          <w:trHeight w:val="175"/>
        </w:trPr>
        <w:tc>
          <w:tcPr>
            <w:tcW w:w="58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w w:val="94"/>
              </w:rPr>
              <w:t>Number</w:t>
            </w:r>
          </w:p>
        </w:tc>
        <w:tc>
          <w:tcPr>
            <w:tcW w:w="340" w:type="dxa"/>
            <w:vAlign w:val="bottom"/>
          </w:tcPr>
          <w:p>
            <w:pPr>
              <w:spacing w:after="0"/>
              <w:rPr>
                <w:sz w:val="15"/>
                <w:szCs w:val="15"/>
                <w:color w:val="auto"/>
              </w:rPr>
            </w:pPr>
          </w:p>
        </w:tc>
        <w:tc>
          <w:tcPr>
            <w:tcW w:w="10500" w:type="dxa"/>
            <w:vAlign w:val="bottom"/>
            <w:tcBorders>
              <w:bottom w:val="single" w:sz="8" w:color="auto"/>
            </w:tcBorders>
          </w:tcPr>
          <w:p>
            <w:pPr>
              <w:ind w:left="4920"/>
              <w:spacing w:after="0"/>
              <w:rPr>
                <w:sz w:val="20"/>
                <w:szCs w:val="20"/>
                <w:color w:val="auto"/>
              </w:rPr>
            </w:pPr>
            <w:r>
              <w:rPr>
                <w:rFonts w:ascii="Arial" w:cs="Arial" w:eastAsia="Arial" w:hAnsi="Arial"/>
                <w:sz w:val="14"/>
                <w:szCs w:val="14"/>
                <w:b w:val="1"/>
                <w:bCs w:val="1"/>
                <w:color w:val="auto"/>
              </w:rPr>
              <w:t>Description</w:t>
            </w:r>
          </w:p>
        </w:tc>
      </w:tr>
    </w:tbl>
    <w:p>
      <w:pPr>
        <w:spacing w:after="0" w:line="100" w:lineRule="exact"/>
        <w:rPr>
          <w:sz w:val="20"/>
          <w:szCs w:val="20"/>
          <w:color w:val="auto"/>
        </w:rPr>
      </w:pPr>
    </w:p>
    <w:p>
      <w:pPr>
        <w:ind w:left="920" w:right="60" w:hanging="839"/>
        <w:spacing w:after="0" w:line="254" w:lineRule="auto"/>
        <w:tabs>
          <w:tab w:leader="none" w:pos="90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8"/>
          <w:szCs w:val="18"/>
          <w:color w:val="auto"/>
        </w:rPr>
        <w:t>Employment Agreement, dated December 30, 2010 between Aviat Networks, Inc. and John J. Madigan (incorporated by reference to Exhibit 10.1 to the Report on Form 8-K filed with the Securities and Exchange</w:t>
      </w:r>
    </w:p>
    <w:p>
      <w:pPr>
        <w:jc w:val="center"/>
        <w:ind w:right="5740"/>
        <w:spacing w:after="0"/>
        <w:rPr>
          <w:sz w:val="20"/>
          <w:szCs w:val="20"/>
          <w:color w:val="auto"/>
        </w:rPr>
      </w:pPr>
      <w:r>
        <w:rPr>
          <w:rFonts w:ascii="Arial" w:cs="Arial" w:eastAsia="Arial" w:hAnsi="Arial"/>
          <w:sz w:val="18"/>
          <w:szCs w:val="18"/>
          <w:color w:val="auto"/>
        </w:rPr>
        <w:t>Commission on January 4, 2011, File No. 001-33278).</w:t>
      </w:r>
    </w:p>
    <w:p>
      <w:pPr>
        <w:spacing w:after="0" w:line="124" w:lineRule="exact"/>
        <w:rPr>
          <w:sz w:val="20"/>
          <w:szCs w:val="20"/>
          <w:color w:val="auto"/>
        </w:rPr>
      </w:pPr>
    </w:p>
    <w:p>
      <w:pPr>
        <w:ind w:left="80"/>
        <w:spacing w:after="0"/>
        <w:tabs>
          <w:tab w:leader="none" w:pos="900" w:val="left"/>
        </w:tabs>
        <w:rPr>
          <w:sz w:val="20"/>
          <w:szCs w:val="20"/>
          <w:color w:val="auto"/>
        </w:rPr>
      </w:pPr>
      <w:r>
        <w:rPr>
          <w:rFonts w:ascii="Arial" w:cs="Arial" w:eastAsia="Arial" w:hAnsi="Arial"/>
          <w:sz w:val="18"/>
          <w:szCs w:val="18"/>
          <w:color w:val="auto"/>
        </w:rPr>
        <w:t>(31.1)</w:t>
      </w:r>
      <w:r>
        <w:rPr>
          <w:sz w:val="20"/>
          <w:szCs w:val="20"/>
          <w:color w:val="auto"/>
        </w:rPr>
        <w:tab/>
      </w:r>
      <w:r>
        <w:rPr>
          <w:rFonts w:ascii="Arial" w:cs="Arial" w:eastAsia="Arial" w:hAnsi="Arial"/>
          <w:sz w:val="16"/>
          <w:szCs w:val="16"/>
          <w:color w:val="auto"/>
        </w:rPr>
        <w:t>Rule 13a-14(a)/15d-14(a) Certification of Chief Executive Officer.</w:t>
      </w:r>
    </w:p>
    <w:p>
      <w:pPr>
        <w:spacing w:after="0" w:line="117" w:lineRule="exact"/>
        <w:rPr>
          <w:sz w:val="20"/>
          <w:szCs w:val="20"/>
          <w:color w:val="auto"/>
        </w:rPr>
      </w:pPr>
    </w:p>
    <w:p>
      <w:pPr>
        <w:ind w:left="80"/>
        <w:spacing w:after="0"/>
        <w:tabs>
          <w:tab w:leader="none" w:pos="900" w:val="left"/>
        </w:tabs>
        <w:rPr>
          <w:sz w:val="20"/>
          <w:szCs w:val="20"/>
          <w:color w:val="auto"/>
        </w:rPr>
      </w:pPr>
      <w:r>
        <w:rPr>
          <w:rFonts w:ascii="Arial" w:cs="Arial" w:eastAsia="Arial" w:hAnsi="Arial"/>
          <w:sz w:val="18"/>
          <w:szCs w:val="18"/>
          <w:color w:val="auto"/>
        </w:rPr>
        <w:t>(31.2)</w:t>
      </w:r>
      <w:r>
        <w:rPr>
          <w:sz w:val="20"/>
          <w:szCs w:val="20"/>
          <w:color w:val="auto"/>
        </w:rPr>
        <w:tab/>
      </w:r>
      <w:r>
        <w:rPr>
          <w:rFonts w:ascii="Arial" w:cs="Arial" w:eastAsia="Arial" w:hAnsi="Arial"/>
          <w:sz w:val="16"/>
          <w:szCs w:val="16"/>
          <w:color w:val="auto"/>
        </w:rPr>
        <w:t>Rule 13a-14(a)/15d-14(a) Certification of Chief Financial Officer.</w:t>
      </w:r>
    </w:p>
    <w:p>
      <w:pPr>
        <w:spacing w:after="0" w:line="117" w:lineRule="exact"/>
        <w:rPr>
          <w:sz w:val="20"/>
          <w:szCs w:val="20"/>
          <w:color w:val="auto"/>
        </w:rPr>
      </w:pPr>
    </w:p>
    <w:p>
      <w:pPr>
        <w:ind w:left="80"/>
        <w:spacing w:after="0"/>
        <w:tabs>
          <w:tab w:leader="none" w:pos="900" w:val="left"/>
        </w:tabs>
        <w:rPr>
          <w:sz w:val="20"/>
          <w:szCs w:val="20"/>
          <w:color w:val="auto"/>
        </w:rPr>
      </w:pPr>
      <w:r>
        <w:rPr>
          <w:rFonts w:ascii="Arial" w:cs="Arial" w:eastAsia="Arial" w:hAnsi="Arial"/>
          <w:sz w:val="18"/>
          <w:szCs w:val="18"/>
          <w:color w:val="auto"/>
        </w:rPr>
        <w:t>(32.1)</w:t>
      </w:r>
      <w:r>
        <w:rPr>
          <w:sz w:val="20"/>
          <w:szCs w:val="20"/>
          <w:color w:val="auto"/>
        </w:rPr>
        <w:tab/>
      </w:r>
      <w:r>
        <w:rPr>
          <w:rFonts w:ascii="Arial" w:cs="Arial" w:eastAsia="Arial" w:hAnsi="Arial"/>
          <w:sz w:val="16"/>
          <w:szCs w:val="16"/>
          <w:color w:val="auto"/>
        </w:rPr>
        <w:t>Section 1350 Certification of Chief Executive Officer and Chief Financial Officer.</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459" w:right="239" w:bottom="1440" w:gutter="0" w:footer="0" w:header="0"/>
        </w:sectPr>
      </w:pPr>
    </w:p>
    <w:bookmarkStart w:id="33" w:name="page34"/>
    <w:bookmarkEnd w:id="33"/>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ind w:left="5000"/>
        <w:spacing w:after="0"/>
        <w:rPr>
          <w:sz w:val="20"/>
          <w:szCs w:val="20"/>
          <w:color w:val="auto"/>
        </w:rPr>
      </w:pPr>
      <w:r>
        <w:rPr>
          <w:rFonts w:ascii="Arial" w:cs="Arial" w:eastAsia="Arial" w:hAnsi="Arial"/>
          <w:sz w:val="18"/>
          <w:szCs w:val="18"/>
          <w:b w:val="1"/>
          <w:bCs w:val="1"/>
          <w:color w:val="auto"/>
        </w:rPr>
        <w:t>CERTIFICATION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I, Charles D. Kissner, Chief Executive Officer and Chairman of the Board of Aviat Networks, Inc., certify that:</w:t>
      </w:r>
    </w:p>
    <w:p>
      <w:pPr>
        <w:spacing w:after="0" w:line="90" w:lineRule="exact"/>
        <w:rPr>
          <w:sz w:val="20"/>
          <w:szCs w:val="20"/>
          <w:color w:val="auto"/>
        </w:rPr>
      </w:pPr>
    </w:p>
    <w:p>
      <w:pPr>
        <w:ind w:left="460" w:hanging="452"/>
        <w:spacing w:after="0"/>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fiscal quarter ended December 31, 2010, of Aviat Networks, Inc.;</w:t>
      </w:r>
    </w:p>
    <w:p>
      <w:pPr>
        <w:spacing w:after="0" w:line="90" w:lineRule="exact"/>
        <w:rPr>
          <w:rFonts w:ascii="Arial" w:cs="Arial" w:eastAsia="Arial" w:hAnsi="Arial"/>
          <w:sz w:val="18"/>
          <w:szCs w:val="18"/>
          <w:color w:val="auto"/>
        </w:rPr>
      </w:pPr>
    </w:p>
    <w:p>
      <w:pPr>
        <w:ind w:left="460" w:right="260" w:hanging="452"/>
        <w:spacing w:after="0" w:line="357" w:lineRule="auto"/>
        <w:tabs>
          <w:tab w:leader="none" w:pos="460" w:val="left"/>
        </w:tabs>
        <w:numPr>
          <w:ilvl w:val="0"/>
          <w:numId w:val="11"/>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460" w:right="60" w:hanging="452"/>
        <w:spacing w:after="0" w:line="268" w:lineRule="auto"/>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0" w:lineRule="exact"/>
        <w:rPr>
          <w:rFonts w:ascii="Arial" w:cs="Arial" w:eastAsia="Arial" w:hAnsi="Arial"/>
          <w:sz w:val="18"/>
          <w:szCs w:val="18"/>
          <w:color w:val="auto"/>
        </w:rPr>
      </w:pPr>
    </w:p>
    <w:p>
      <w:pPr>
        <w:ind w:left="460" w:right="20" w:hanging="452"/>
        <w:spacing w:after="0" w:line="259" w:lineRule="auto"/>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rFonts w:ascii="Arial" w:cs="Arial" w:eastAsia="Arial" w:hAnsi="Arial"/>
          <w:sz w:val="18"/>
          <w:szCs w:val="18"/>
          <w:color w:val="auto"/>
        </w:rPr>
      </w:pPr>
    </w:p>
    <w:p>
      <w:pPr>
        <w:ind w:left="900" w:right="60" w:hanging="446"/>
        <w:spacing w:after="0" w:line="259" w:lineRule="auto"/>
        <w:tabs>
          <w:tab w:leader="none" w:pos="900" w:val="left"/>
        </w:tabs>
        <w:numPr>
          <w:ilvl w:val="1"/>
          <w:numId w:val="1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900" w:right="40" w:hanging="446"/>
        <w:spacing w:after="0" w:line="259" w:lineRule="auto"/>
        <w:tabs>
          <w:tab w:leader="none" w:pos="900" w:val="left"/>
        </w:tabs>
        <w:numPr>
          <w:ilvl w:val="1"/>
          <w:numId w:val="1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 for external purposes in accordance with generally accepted accounting principles;</w:t>
      </w:r>
    </w:p>
    <w:p>
      <w:pPr>
        <w:spacing w:after="0" w:line="59" w:lineRule="exact"/>
        <w:rPr>
          <w:rFonts w:ascii="Arial" w:cs="Arial" w:eastAsia="Arial" w:hAnsi="Arial"/>
          <w:sz w:val="18"/>
          <w:szCs w:val="18"/>
          <w:color w:val="auto"/>
        </w:rPr>
      </w:pPr>
    </w:p>
    <w:p>
      <w:pPr>
        <w:ind w:left="900" w:right="100" w:hanging="446"/>
        <w:spacing w:after="0" w:line="332" w:lineRule="auto"/>
        <w:tabs>
          <w:tab w:leader="none" w:pos="900" w:val="left"/>
        </w:tabs>
        <w:numPr>
          <w:ilvl w:val="1"/>
          <w:numId w:val="1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Arial" w:cs="Arial" w:eastAsia="Arial" w:hAnsi="Arial"/>
          <w:sz w:val="16"/>
          <w:szCs w:val="16"/>
          <w:color w:val="auto"/>
        </w:rPr>
      </w:pPr>
    </w:p>
    <w:p>
      <w:pPr>
        <w:ind w:left="900" w:right="140" w:hanging="446"/>
        <w:spacing w:after="0" w:line="259" w:lineRule="auto"/>
        <w:tabs>
          <w:tab w:leader="none" w:pos="900" w:val="left"/>
        </w:tabs>
        <w:numPr>
          <w:ilvl w:val="1"/>
          <w:numId w:val="1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9" w:lineRule="exact"/>
        <w:rPr>
          <w:rFonts w:ascii="Arial" w:cs="Arial" w:eastAsia="Arial" w:hAnsi="Arial"/>
          <w:sz w:val="18"/>
          <w:szCs w:val="18"/>
          <w:color w:val="auto"/>
        </w:rPr>
      </w:pPr>
    </w:p>
    <w:p>
      <w:pPr>
        <w:ind w:left="460" w:right="460" w:hanging="452"/>
        <w:spacing w:after="0" w:line="332" w:lineRule="auto"/>
        <w:tabs>
          <w:tab w:leader="none" w:pos="4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4" w:lineRule="exact"/>
        <w:rPr>
          <w:rFonts w:ascii="Arial" w:cs="Arial" w:eastAsia="Arial" w:hAnsi="Arial"/>
          <w:sz w:val="16"/>
          <w:szCs w:val="16"/>
          <w:color w:val="auto"/>
        </w:rPr>
      </w:pPr>
    </w:p>
    <w:p>
      <w:pPr>
        <w:ind w:left="900" w:right="20" w:hanging="446"/>
        <w:spacing w:after="0" w:line="268" w:lineRule="auto"/>
        <w:tabs>
          <w:tab w:leader="none" w:pos="900" w:val="left"/>
        </w:tabs>
        <w:numPr>
          <w:ilvl w:val="1"/>
          <w:numId w:val="1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0" w:lineRule="exact"/>
        <w:rPr>
          <w:rFonts w:ascii="Arial" w:cs="Arial" w:eastAsia="Arial" w:hAnsi="Arial"/>
          <w:sz w:val="18"/>
          <w:szCs w:val="18"/>
          <w:color w:val="auto"/>
        </w:rPr>
      </w:pPr>
    </w:p>
    <w:p>
      <w:pPr>
        <w:ind w:left="900" w:right="60" w:hanging="446"/>
        <w:spacing w:after="0" w:line="268" w:lineRule="auto"/>
        <w:tabs>
          <w:tab w:leader="none" w:pos="900" w:val="left"/>
        </w:tabs>
        <w:numPr>
          <w:ilvl w:val="1"/>
          <w:numId w:val="1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2" w:lineRule="exact"/>
        <w:rPr>
          <w:sz w:val="20"/>
          <w:szCs w:val="20"/>
          <w:color w:val="auto"/>
        </w:rPr>
      </w:pPr>
    </w:p>
    <w:p>
      <w:pPr>
        <w:spacing w:after="0"/>
        <w:tabs>
          <w:tab w:leader="none" w:pos="5800" w:val="left"/>
        </w:tabs>
        <w:rPr>
          <w:sz w:val="20"/>
          <w:szCs w:val="20"/>
          <w:color w:val="auto"/>
        </w:rPr>
      </w:pPr>
      <w:r>
        <w:rPr>
          <w:rFonts w:ascii="Arial" w:cs="Arial" w:eastAsia="Arial" w:hAnsi="Arial"/>
          <w:sz w:val="18"/>
          <w:szCs w:val="18"/>
          <w:color w:val="auto"/>
        </w:rPr>
        <w:t>Date: February 9, 2011</w:t>
      </w:r>
      <w:r>
        <w:rPr>
          <w:sz w:val="20"/>
          <w:szCs w:val="20"/>
          <w:color w:val="auto"/>
        </w:rPr>
        <w:tab/>
      </w:r>
      <w:r>
        <w:rPr>
          <w:rFonts w:ascii="Arial" w:cs="Arial" w:eastAsia="Arial" w:hAnsi="Arial"/>
          <w:sz w:val="15"/>
          <w:szCs w:val="15"/>
          <w:color w:val="auto"/>
        </w:rPr>
        <w:t>/s/ Charles D. Kissner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10795</wp:posOffset>
            </wp:positionV>
            <wp:extent cx="3550285"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16"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Name:  Charles D. Kissner</w:t>
      </w:r>
    </w:p>
    <w:p>
      <w:pPr>
        <w:spacing w:after="0" w:line="15" w:lineRule="exact"/>
        <w:rPr>
          <w:sz w:val="20"/>
          <w:szCs w:val="20"/>
          <w:color w:val="auto"/>
        </w:rPr>
      </w:pPr>
    </w:p>
    <w:p>
      <w:pPr>
        <w:ind w:left="5820"/>
        <w:spacing w:after="0"/>
        <w:tabs>
          <w:tab w:leader="none" w:pos="6380" w:val="left"/>
        </w:tabs>
        <w:rPr>
          <w:sz w:val="20"/>
          <w:szCs w:val="20"/>
          <w:color w:val="auto"/>
        </w:rPr>
      </w:pPr>
      <w:r>
        <w:rPr>
          <w:rFonts w:ascii="Arial" w:cs="Arial" w:eastAsia="Arial" w:hAnsi="Arial"/>
          <w:sz w:val="18"/>
          <w:szCs w:val="18"/>
          <w:color w:val="auto"/>
        </w:rPr>
        <w:t>Title:</w:t>
        <w:tab/>
        <w:t>Chief Executive Officer</w:t>
      </w:r>
    </w:p>
    <w:p>
      <w:pPr>
        <w:spacing w:after="0" w:line="9"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and Chairman of the Board</w:t>
      </w:r>
    </w:p>
    <w:p>
      <w:pPr>
        <w:sectPr>
          <w:pgSz w:w="11900" w:h="16838" w:orient="portrait"/>
          <w:cols w:equalWidth="0" w:num="1">
            <w:col w:w="11420"/>
          </w:cols>
          <w:pgMar w:left="240" w:top="125" w:right="239" w:bottom="1440" w:gutter="0" w:footer="0" w:header="0"/>
        </w:sectPr>
      </w:pPr>
    </w:p>
    <w:bookmarkStart w:id="34" w:name="page35"/>
    <w:bookmarkEnd w:id="34"/>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ind w:left="5000"/>
        <w:spacing w:after="0"/>
        <w:rPr>
          <w:sz w:val="20"/>
          <w:szCs w:val="20"/>
          <w:color w:val="auto"/>
        </w:rPr>
      </w:pPr>
      <w:r>
        <w:rPr>
          <w:rFonts w:ascii="Arial" w:cs="Arial" w:eastAsia="Arial" w:hAnsi="Arial"/>
          <w:sz w:val="18"/>
          <w:szCs w:val="18"/>
          <w:b w:val="1"/>
          <w:bCs w:val="1"/>
          <w:color w:val="auto"/>
        </w:rPr>
        <w:t>CERTIFICATION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I, Thomas L. Cronan III, Senior Vice President and Chief Financial Officer of Aviat Networks, Inc., certify that:</w:t>
      </w:r>
    </w:p>
    <w:p>
      <w:pPr>
        <w:spacing w:after="0" w:line="90" w:lineRule="exact"/>
        <w:rPr>
          <w:sz w:val="20"/>
          <w:szCs w:val="20"/>
          <w:color w:val="auto"/>
        </w:rPr>
      </w:pPr>
    </w:p>
    <w:p>
      <w:pPr>
        <w:ind w:left="460" w:hanging="452"/>
        <w:spacing w:after="0"/>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fiscal quarter ended December 31, 2010, of Aviat Networks, Inc.;</w:t>
      </w:r>
    </w:p>
    <w:p>
      <w:pPr>
        <w:spacing w:after="0" w:line="90" w:lineRule="exact"/>
        <w:rPr>
          <w:rFonts w:ascii="Arial" w:cs="Arial" w:eastAsia="Arial" w:hAnsi="Arial"/>
          <w:sz w:val="18"/>
          <w:szCs w:val="18"/>
          <w:color w:val="auto"/>
        </w:rPr>
      </w:pPr>
    </w:p>
    <w:p>
      <w:pPr>
        <w:ind w:left="460" w:right="260" w:hanging="452"/>
        <w:spacing w:after="0" w:line="357" w:lineRule="auto"/>
        <w:tabs>
          <w:tab w:leader="none" w:pos="460" w:val="left"/>
        </w:tabs>
        <w:numPr>
          <w:ilvl w:val="0"/>
          <w:numId w:val="12"/>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460" w:right="60" w:hanging="452"/>
        <w:spacing w:after="0" w:line="268" w:lineRule="auto"/>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0" w:lineRule="exact"/>
        <w:rPr>
          <w:rFonts w:ascii="Arial" w:cs="Arial" w:eastAsia="Arial" w:hAnsi="Arial"/>
          <w:sz w:val="18"/>
          <w:szCs w:val="18"/>
          <w:color w:val="auto"/>
        </w:rPr>
      </w:pPr>
    </w:p>
    <w:p>
      <w:pPr>
        <w:ind w:left="460" w:right="20" w:hanging="452"/>
        <w:spacing w:after="0" w:line="259" w:lineRule="auto"/>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rFonts w:ascii="Arial" w:cs="Arial" w:eastAsia="Arial" w:hAnsi="Arial"/>
          <w:sz w:val="18"/>
          <w:szCs w:val="18"/>
          <w:color w:val="auto"/>
        </w:rPr>
      </w:pPr>
    </w:p>
    <w:p>
      <w:pPr>
        <w:ind w:left="900" w:right="60" w:hanging="446"/>
        <w:spacing w:after="0" w:line="259" w:lineRule="auto"/>
        <w:tabs>
          <w:tab w:leader="none" w:pos="900" w:val="left"/>
        </w:tabs>
        <w:numPr>
          <w:ilvl w:val="1"/>
          <w:numId w:val="1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900" w:right="40" w:hanging="446"/>
        <w:spacing w:after="0" w:line="259" w:lineRule="auto"/>
        <w:tabs>
          <w:tab w:leader="none" w:pos="900" w:val="left"/>
        </w:tabs>
        <w:numPr>
          <w:ilvl w:val="1"/>
          <w:numId w:val="1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 for external purposes in accordance with generally accepted accounting principles;</w:t>
      </w:r>
    </w:p>
    <w:p>
      <w:pPr>
        <w:spacing w:after="0" w:line="59" w:lineRule="exact"/>
        <w:rPr>
          <w:rFonts w:ascii="Arial" w:cs="Arial" w:eastAsia="Arial" w:hAnsi="Arial"/>
          <w:sz w:val="18"/>
          <w:szCs w:val="18"/>
          <w:color w:val="auto"/>
        </w:rPr>
      </w:pPr>
    </w:p>
    <w:p>
      <w:pPr>
        <w:ind w:left="900" w:right="100" w:hanging="446"/>
        <w:spacing w:after="0" w:line="332" w:lineRule="auto"/>
        <w:tabs>
          <w:tab w:leader="none" w:pos="900" w:val="left"/>
        </w:tabs>
        <w:numPr>
          <w:ilvl w:val="1"/>
          <w:numId w:val="1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Arial" w:cs="Arial" w:eastAsia="Arial" w:hAnsi="Arial"/>
          <w:sz w:val="16"/>
          <w:szCs w:val="16"/>
          <w:color w:val="auto"/>
        </w:rPr>
      </w:pPr>
    </w:p>
    <w:p>
      <w:pPr>
        <w:ind w:left="900" w:right="140" w:hanging="446"/>
        <w:spacing w:after="0" w:line="259" w:lineRule="auto"/>
        <w:tabs>
          <w:tab w:leader="none" w:pos="900" w:val="left"/>
        </w:tabs>
        <w:numPr>
          <w:ilvl w:val="1"/>
          <w:numId w:val="1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9" w:lineRule="exact"/>
        <w:rPr>
          <w:rFonts w:ascii="Arial" w:cs="Arial" w:eastAsia="Arial" w:hAnsi="Arial"/>
          <w:sz w:val="18"/>
          <w:szCs w:val="18"/>
          <w:color w:val="auto"/>
        </w:rPr>
      </w:pPr>
    </w:p>
    <w:p>
      <w:pPr>
        <w:ind w:left="460" w:right="460" w:hanging="452"/>
        <w:spacing w:after="0" w:line="332" w:lineRule="auto"/>
        <w:tabs>
          <w:tab w:leader="none" w:pos="4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4" w:lineRule="exact"/>
        <w:rPr>
          <w:rFonts w:ascii="Arial" w:cs="Arial" w:eastAsia="Arial" w:hAnsi="Arial"/>
          <w:sz w:val="16"/>
          <w:szCs w:val="16"/>
          <w:color w:val="auto"/>
        </w:rPr>
      </w:pPr>
    </w:p>
    <w:p>
      <w:pPr>
        <w:ind w:left="900" w:right="20" w:hanging="446"/>
        <w:spacing w:after="0" w:line="268" w:lineRule="auto"/>
        <w:tabs>
          <w:tab w:leader="none" w:pos="900" w:val="left"/>
        </w:tabs>
        <w:numPr>
          <w:ilvl w:val="1"/>
          <w:numId w:val="1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0" w:lineRule="exact"/>
        <w:rPr>
          <w:rFonts w:ascii="Arial" w:cs="Arial" w:eastAsia="Arial" w:hAnsi="Arial"/>
          <w:sz w:val="18"/>
          <w:szCs w:val="18"/>
          <w:color w:val="auto"/>
        </w:rPr>
      </w:pPr>
    </w:p>
    <w:p>
      <w:pPr>
        <w:ind w:left="900" w:right="60" w:hanging="446"/>
        <w:spacing w:after="0" w:line="268" w:lineRule="auto"/>
        <w:tabs>
          <w:tab w:leader="none" w:pos="900" w:val="left"/>
        </w:tabs>
        <w:numPr>
          <w:ilvl w:val="1"/>
          <w:numId w:val="1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2" w:lineRule="exact"/>
        <w:rPr>
          <w:sz w:val="20"/>
          <w:szCs w:val="20"/>
          <w:color w:val="auto"/>
        </w:rPr>
      </w:pPr>
    </w:p>
    <w:p>
      <w:pPr>
        <w:spacing w:after="0"/>
        <w:tabs>
          <w:tab w:leader="none" w:pos="5800" w:val="left"/>
        </w:tabs>
        <w:rPr>
          <w:sz w:val="20"/>
          <w:szCs w:val="20"/>
          <w:color w:val="auto"/>
        </w:rPr>
      </w:pPr>
      <w:r>
        <w:rPr>
          <w:rFonts w:ascii="Arial" w:cs="Arial" w:eastAsia="Arial" w:hAnsi="Arial"/>
          <w:sz w:val="18"/>
          <w:szCs w:val="18"/>
          <w:color w:val="auto"/>
        </w:rPr>
        <w:t>Date: February 9, 2011</w:t>
      </w:r>
      <w:r>
        <w:rPr>
          <w:sz w:val="20"/>
          <w:szCs w:val="20"/>
          <w:color w:val="auto"/>
        </w:rPr>
        <w:tab/>
      </w:r>
      <w:r>
        <w:rPr>
          <w:rFonts w:ascii="Arial" w:cs="Arial" w:eastAsia="Arial" w:hAnsi="Arial"/>
          <w:sz w:val="16"/>
          <w:szCs w:val="16"/>
          <w:color w:val="auto"/>
        </w:rPr>
        <w:t>/s/ Thomas L. Cronan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10795</wp:posOffset>
            </wp:positionV>
            <wp:extent cx="3550285"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16"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Name:  Thomas L. Cronan III</w:t>
      </w:r>
    </w:p>
    <w:p>
      <w:pPr>
        <w:spacing w:after="0" w:line="15" w:lineRule="exact"/>
        <w:rPr>
          <w:sz w:val="20"/>
          <w:szCs w:val="20"/>
          <w:color w:val="auto"/>
        </w:rPr>
      </w:pPr>
    </w:p>
    <w:p>
      <w:pPr>
        <w:ind w:left="5820"/>
        <w:spacing w:after="0"/>
        <w:tabs>
          <w:tab w:leader="none" w:pos="6380" w:val="left"/>
        </w:tabs>
        <w:rPr>
          <w:sz w:val="20"/>
          <w:szCs w:val="20"/>
          <w:color w:val="auto"/>
        </w:rPr>
      </w:pPr>
      <w:r>
        <w:rPr>
          <w:rFonts w:ascii="Arial" w:cs="Arial" w:eastAsia="Arial" w:hAnsi="Arial"/>
          <w:sz w:val="18"/>
          <w:szCs w:val="18"/>
          <w:color w:val="auto"/>
        </w:rPr>
        <w:t>Title:</w:t>
        <w:tab/>
        <w:t>Senior Vice President</w:t>
      </w:r>
    </w:p>
    <w:p>
      <w:pPr>
        <w:spacing w:after="0" w:line="9"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and Chief Financial Officer</w:t>
      </w:r>
    </w:p>
    <w:p>
      <w:pPr>
        <w:sectPr>
          <w:pgSz w:w="11900" w:h="16838" w:orient="portrait"/>
          <w:cols w:equalWidth="0" w:num="1">
            <w:col w:w="11420"/>
          </w:cols>
          <w:pgMar w:left="240" w:top="125" w:right="239" w:bottom="1440" w:gutter="0" w:footer="0" w:header="0"/>
        </w:sectPr>
      </w:pPr>
    </w:p>
    <w:bookmarkStart w:id="35" w:name="page36"/>
    <w:bookmarkEnd w:id="35"/>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 of Chief Executive Officer and Chief Financial Officer of Aviat Networks,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1350 of Chapter 63 of Title 18 of the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United States Code as Adopted Pursuant to Section 906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Sarbanes-Oxley Act of 2002</w:t>
      </w:r>
    </w:p>
    <w:p>
      <w:pPr>
        <w:spacing w:after="0" w:line="165"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In connection with the filing of the Quarterly Report on Form 10-Q of Aviat Networks, Inc. (“Aviat Networks”) for the fiscal quarter ended December 31, 2010, as filed with the Securities and Exchange Commission on the date hereof (the “Report”), we, Charles D. Kissner, Chief Executive Officer and Chairman of the Board of Aviat Networks, and Thomas L. Cronan III, Senior Vice President and Chief Financial Officer of Aviat Networks, hereby certify, pursuant to Section 906 of the Sarbanes-Oxley Act of 2002, 18 U.S.C. §1350, that:</w:t>
      </w:r>
    </w:p>
    <w:p>
      <w:pPr>
        <w:spacing w:after="0" w:line="62" w:lineRule="exact"/>
        <w:rPr>
          <w:sz w:val="20"/>
          <w:szCs w:val="20"/>
          <w:color w:val="auto"/>
        </w:rPr>
      </w:pPr>
    </w:p>
    <w:p>
      <w:pPr>
        <w:ind w:left="460" w:hanging="452"/>
        <w:spacing w:after="0"/>
        <w:tabs>
          <w:tab w:leader="none" w:pos="4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as applicable, of the Securities Exchange Act of 1934, as amended; and</w:t>
      </w:r>
    </w:p>
    <w:p>
      <w:pPr>
        <w:spacing w:after="0" w:line="113" w:lineRule="exact"/>
        <w:rPr>
          <w:rFonts w:ascii="Arial" w:cs="Arial" w:eastAsia="Arial" w:hAnsi="Arial"/>
          <w:sz w:val="16"/>
          <w:szCs w:val="16"/>
          <w:color w:val="auto"/>
        </w:rPr>
      </w:pPr>
    </w:p>
    <w:p>
      <w:pPr>
        <w:ind w:left="460" w:hanging="452"/>
        <w:spacing w:after="0" w:line="268" w:lineRule="auto"/>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Aviat Networks as of the dates and for the periods expressed in the Report.</w:t>
      </w:r>
    </w:p>
    <w:p>
      <w:pPr>
        <w:spacing w:after="0" w:line="172" w:lineRule="exact"/>
        <w:rPr>
          <w:sz w:val="20"/>
          <w:szCs w:val="20"/>
          <w:color w:val="auto"/>
        </w:rPr>
      </w:pPr>
    </w:p>
    <w:p>
      <w:pPr>
        <w:spacing w:after="0"/>
        <w:tabs>
          <w:tab w:leader="none" w:pos="5800" w:val="left"/>
        </w:tabs>
        <w:rPr>
          <w:sz w:val="20"/>
          <w:szCs w:val="20"/>
          <w:color w:val="auto"/>
        </w:rPr>
      </w:pPr>
      <w:r>
        <w:rPr>
          <w:rFonts w:ascii="Arial" w:cs="Arial" w:eastAsia="Arial" w:hAnsi="Arial"/>
          <w:sz w:val="18"/>
          <w:szCs w:val="18"/>
          <w:color w:val="auto"/>
        </w:rPr>
        <w:t>Date: February 9, 2011</w:t>
      </w:r>
      <w:r>
        <w:rPr>
          <w:sz w:val="20"/>
          <w:szCs w:val="20"/>
          <w:color w:val="auto"/>
        </w:rPr>
        <w:tab/>
      </w:r>
      <w:r>
        <w:rPr>
          <w:rFonts w:ascii="Arial" w:cs="Arial" w:eastAsia="Arial" w:hAnsi="Arial"/>
          <w:sz w:val="15"/>
          <w:szCs w:val="15"/>
          <w:color w:val="auto"/>
        </w:rPr>
        <w:t>/s/ Charles D. Kissner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10795</wp:posOffset>
            </wp:positionV>
            <wp:extent cx="3550285"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16"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Name:  Charles D. Kissner</w:t>
      </w:r>
    </w:p>
    <w:p>
      <w:pPr>
        <w:spacing w:after="0" w:line="15" w:lineRule="exact"/>
        <w:rPr>
          <w:sz w:val="20"/>
          <w:szCs w:val="20"/>
          <w:color w:val="auto"/>
        </w:rPr>
      </w:pPr>
    </w:p>
    <w:p>
      <w:pPr>
        <w:ind w:left="5820"/>
        <w:spacing w:after="0"/>
        <w:tabs>
          <w:tab w:leader="none" w:pos="6380" w:val="left"/>
        </w:tabs>
        <w:rPr>
          <w:sz w:val="20"/>
          <w:szCs w:val="20"/>
          <w:color w:val="auto"/>
        </w:rPr>
      </w:pPr>
      <w:r>
        <w:rPr>
          <w:rFonts w:ascii="Arial" w:cs="Arial" w:eastAsia="Arial" w:hAnsi="Arial"/>
          <w:sz w:val="18"/>
          <w:szCs w:val="18"/>
          <w:color w:val="auto"/>
        </w:rPr>
        <w:t>Title:</w:t>
        <w:tab/>
        <w:t>Chief Executive Officer</w:t>
      </w:r>
    </w:p>
    <w:p>
      <w:pPr>
        <w:spacing w:after="0" w:line="9"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and Chairman of the Board</w:t>
      </w:r>
    </w:p>
    <w:p>
      <w:pPr>
        <w:spacing w:after="0" w:line="219" w:lineRule="exact"/>
        <w:rPr>
          <w:sz w:val="20"/>
          <w:szCs w:val="20"/>
          <w:color w:val="auto"/>
        </w:rPr>
      </w:pPr>
    </w:p>
    <w:p>
      <w:pPr>
        <w:spacing w:after="0"/>
        <w:tabs>
          <w:tab w:leader="none" w:pos="5800" w:val="left"/>
        </w:tabs>
        <w:rPr>
          <w:sz w:val="20"/>
          <w:szCs w:val="20"/>
          <w:color w:val="auto"/>
        </w:rPr>
      </w:pPr>
      <w:r>
        <w:rPr>
          <w:rFonts w:ascii="Arial" w:cs="Arial" w:eastAsia="Arial" w:hAnsi="Arial"/>
          <w:sz w:val="18"/>
          <w:szCs w:val="18"/>
          <w:color w:val="auto"/>
        </w:rPr>
        <w:t>Date: February 9, 2011</w:t>
      </w:r>
      <w:r>
        <w:rPr>
          <w:sz w:val="20"/>
          <w:szCs w:val="20"/>
          <w:color w:val="auto"/>
        </w:rPr>
        <w:tab/>
      </w:r>
      <w:r>
        <w:rPr>
          <w:rFonts w:ascii="Arial" w:cs="Arial" w:eastAsia="Arial" w:hAnsi="Arial"/>
          <w:sz w:val="16"/>
          <w:szCs w:val="16"/>
          <w:color w:val="auto"/>
        </w:rPr>
        <w:t>/s/ Thomas L. Cronan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10795</wp:posOffset>
            </wp:positionV>
            <wp:extent cx="3550285"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16"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Name:  Thomas L. Cronan III</w:t>
      </w:r>
    </w:p>
    <w:p>
      <w:pPr>
        <w:spacing w:after="0" w:line="15" w:lineRule="exact"/>
        <w:rPr>
          <w:sz w:val="20"/>
          <w:szCs w:val="20"/>
          <w:color w:val="auto"/>
        </w:rPr>
      </w:pPr>
    </w:p>
    <w:p>
      <w:pPr>
        <w:ind w:left="5820"/>
        <w:spacing w:after="0"/>
        <w:tabs>
          <w:tab w:leader="none" w:pos="6380" w:val="left"/>
        </w:tabs>
        <w:rPr>
          <w:sz w:val="20"/>
          <w:szCs w:val="20"/>
          <w:color w:val="auto"/>
        </w:rPr>
      </w:pPr>
      <w:r>
        <w:rPr>
          <w:rFonts w:ascii="Arial" w:cs="Arial" w:eastAsia="Arial" w:hAnsi="Arial"/>
          <w:sz w:val="18"/>
          <w:szCs w:val="18"/>
          <w:color w:val="auto"/>
        </w:rPr>
        <w:t>Title:</w:t>
        <w:tab/>
        <w:t>Senior Vice President</w:t>
      </w:r>
    </w:p>
    <w:p>
      <w:pPr>
        <w:spacing w:after="0" w:line="9"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and Chief Financial Officer</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B71EFB"/>
    <w:multiLevelType w:val="hybridMultilevel"/>
    <w:lvl w:ilvl="0">
      <w:lvlJc w:val="left"/>
      <w:lvlText w:val="☒"/>
      <w:numFmt w:val="bullet"/>
      <w:start w:val="1"/>
    </w:lvl>
  </w:abstractNum>
  <w:abstractNum w:abstractNumId="1">
    <w:nsid w:val="79E2A9E3"/>
    <w:multiLevelType w:val="hybridMultilevel"/>
    <w:lvl w:ilvl="0">
      <w:lvlJc w:val="left"/>
      <w:lvlText w:val="☐"/>
      <w:numFmt w:val="bullet"/>
      <w:start w:val="1"/>
    </w:lvl>
  </w:abstractNum>
  <w:abstractNum w:abstractNumId="2">
    <w:nsid w:val="7545E146"/>
    <w:multiLevelType w:val="hybridMultilevel"/>
    <w:lvl w:ilvl="0">
      <w:lvlJc w:val="left"/>
      <w:lvlText w:val="•"/>
      <w:numFmt w:val="bullet"/>
      <w:start w:val="1"/>
    </w:lvl>
  </w:abstractNum>
  <w:abstractNum w:abstractNumId="3">
    <w:nsid w:val="515F007C"/>
    <w:multiLevelType w:val="hybridMultilevel"/>
    <w:lvl w:ilvl="0">
      <w:lvlJc w:val="left"/>
      <w:lvlText w:val="•"/>
      <w:numFmt w:val="bullet"/>
      <w:start w:val="1"/>
    </w:lvl>
  </w:abstractNum>
  <w:abstractNum w:abstractNumId="4">
    <w:nsid w:val="5BD062C2"/>
    <w:multiLevelType w:val="hybridMultilevel"/>
    <w:lvl w:ilvl="0">
      <w:lvlJc w:val="left"/>
      <w:lvlText w:val="(%1)"/>
      <w:numFmt w:val="decimal"/>
      <w:start w:val="1"/>
    </w:lvl>
  </w:abstractNum>
  <w:abstractNum w:abstractNumId="5">
    <w:nsid w:val="12200854"/>
    <w:multiLevelType w:val="hybridMultilevel"/>
    <w:lvl w:ilvl="0">
      <w:lvlJc w:val="left"/>
      <w:lvlText w:val="(%1)"/>
      <w:numFmt w:val="decimal"/>
      <w:start w:val="2"/>
    </w:lvl>
  </w:abstractNum>
  <w:abstractNum w:abstractNumId="6">
    <w:nsid w:val="4DB127F8"/>
    <w:multiLevelType w:val="hybridMultilevel"/>
    <w:lvl w:ilvl="0">
      <w:lvlJc w:val="left"/>
      <w:lvlText w:val="•"/>
      <w:numFmt w:val="bullet"/>
      <w:start w:val="1"/>
    </w:lvl>
  </w:abstractNum>
  <w:abstractNum w:abstractNumId="7">
    <w:nsid w:val="216231B"/>
    <w:multiLevelType w:val="hybridMultilevel"/>
    <w:lvl w:ilvl="0">
      <w:lvlJc w:val="left"/>
      <w:lvlText w:val="•"/>
      <w:numFmt w:val="bullet"/>
      <w:start w:val="1"/>
    </w:lvl>
  </w:abstractNum>
  <w:abstractNum w:abstractNumId="8">
    <w:nsid w:val="1F16E9E8"/>
    <w:multiLevelType w:val="hybridMultilevel"/>
    <w:lvl w:ilvl="0">
      <w:lvlJc w:val="left"/>
      <w:lvlText w:val="•"/>
      <w:numFmt w:val="bullet"/>
      <w:start w:val="1"/>
    </w:lvl>
  </w:abstractNum>
  <w:abstractNum w:abstractNumId="9">
    <w:nsid w:val="1190CDE7"/>
    <w:multiLevelType w:val="hybridMultilevel"/>
    <w:lvl w:ilvl="0">
      <w:lvlJc w:val="left"/>
      <w:lvlText w:val="•"/>
      <w:numFmt w:val="bullet"/>
      <w:start w:val="1"/>
    </w:lvl>
  </w:abstractNum>
  <w:abstractNum w:abstractNumId="10">
    <w:nsid w:val="66EF438D"/>
    <w:multiLevelType w:val="hybridMultilevel"/>
    <w:lvl w:ilvl="0">
      <w:lvlJc w:val="left"/>
      <w:lvlText w:val="%1."/>
      <w:numFmt w:val="decimal"/>
      <w:start w:val="1"/>
    </w:lvl>
    <w:lvl w:ilvl="1">
      <w:lvlJc w:val="left"/>
      <w:lvlText w:val="(%2)"/>
      <w:numFmt w:val="lowerLetter"/>
      <w:start w:val="1"/>
    </w:lvl>
  </w:abstractNum>
  <w:abstractNum w:abstractNumId="11">
    <w:nsid w:val="140E0F76"/>
    <w:multiLevelType w:val="hybridMultilevel"/>
    <w:lvl w:ilvl="0">
      <w:lvlJc w:val="left"/>
      <w:lvlText w:val="%1."/>
      <w:numFmt w:val="decimal"/>
      <w:start w:val="1"/>
    </w:lvl>
    <w:lvl w:ilvl="1">
      <w:lvlJc w:val="left"/>
      <w:lvlText w:val="(%2)"/>
      <w:numFmt w:val="lowerLetter"/>
      <w:start w:val="1"/>
    </w:lvl>
  </w:abstractNum>
  <w:abstractNum w:abstractNumId="12">
    <w:nsid w:val="3352255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2019-12-11T04:50:54Z</dcterms:created>
  <dcterms:modified xsi:type="dcterms:W3CDTF">2019-12-11T04:50:54Z</dcterms:modified>
</cp:coreProperties>
</file>